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4C7E" w:rsidRDefault="00000000">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 xml:space="preserve">Дорожня карта </w:t>
      </w:r>
    </w:p>
    <w:p w14:paraId="00000002" w14:textId="77777777" w:rsidR="00204C7E" w:rsidRDefault="00000000">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для можливості здійснення експорту українського гороху (</w:t>
      </w:r>
      <w:proofErr w:type="spellStart"/>
      <w:r>
        <w:rPr>
          <w:rFonts w:ascii="Times New Roman" w:eastAsia="Times New Roman" w:hAnsi="Times New Roman" w:cs="Times New Roman"/>
          <w:b/>
          <w:bCs/>
          <w:i/>
          <w:iCs/>
          <w:color w:val="000000"/>
          <w:sz w:val="28"/>
          <w:szCs w:val="28"/>
          <w:highlight w:val="white"/>
        </w:rPr>
        <w:t>Pisum</w:t>
      </w:r>
      <w:proofErr w:type="spellEnd"/>
      <w:r>
        <w:rPr>
          <w:rFonts w:ascii="Times New Roman" w:eastAsia="Times New Roman" w:hAnsi="Times New Roman" w:cs="Times New Roman"/>
          <w:b/>
          <w:bCs/>
          <w:i/>
          <w:iCs/>
          <w:color w:val="000000"/>
          <w:sz w:val="28"/>
          <w:szCs w:val="28"/>
          <w:highlight w:val="white"/>
        </w:rPr>
        <w:t xml:space="preserve"> </w:t>
      </w:r>
      <w:proofErr w:type="spellStart"/>
      <w:r>
        <w:rPr>
          <w:rFonts w:ascii="Times New Roman" w:eastAsia="Times New Roman" w:hAnsi="Times New Roman" w:cs="Times New Roman"/>
          <w:b/>
          <w:bCs/>
          <w:i/>
          <w:iCs/>
          <w:color w:val="000000"/>
          <w:sz w:val="28"/>
          <w:szCs w:val="28"/>
          <w:highlight w:val="white"/>
        </w:rPr>
        <w:t>sativum</w:t>
      </w:r>
      <w:proofErr w:type="spellEnd"/>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b/>
          <w:bCs/>
          <w:color w:val="000000"/>
          <w:sz w:val="28"/>
          <w:szCs w:val="28"/>
          <w:highlight w:val="white"/>
        </w:rPr>
        <w:t xml:space="preserve">L.) </w:t>
      </w:r>
    </w:p>
    <w:p w14:paraId="00000003" w14:textId="77777777" w:rsidR="00204C7E" w:rsidRDefault="00000000">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white"/>
        </w:rPr>
      </w:pPr>
      <w:bookmarkStart w:id="0" w:name="_heading=h.p3duqpreb00s" w:colFirst="0" w:colLast="0"/>
      <w:bookmarkEnd w:id="0"/>
      <w:r>
        <w:rPr>
          <w:rFonts w:ascii="Times New Roman" w:eastAsia="Times New Roman" w:hAnsi="Times New Roman" w:cs="Times New Roman"/>
          <w:b/>
          <w:bCs/>
          <w:color w:val="000000"/>
          <w:sz w:val="28"/>
          <w:szCs w:val="28"/>
          <w:highlight w:val="white"/>
        </w:rPr>
        <w:t xml:space="preserve">до Китайської Народної Республіки </w:t>
      </w:r>
    </w:p>
    <w:p w14:paraId="00000004" w14:textId="77777777" w:rsidR="00204C7E" w:rsidRDefault="00204C7E">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white"/>
        </w:rPr>
      </w:pPr>
    </w:p>
    <w:p w14:paraId="00000005" w14:textId="77777777" w:rsidR="00204C7E" w:rsidRDefault="00000000">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 xml:space="preserve"> І. Загальні вимоги.</w:t>
      </w:r>
    </w:p>
    <w:p w14:paraId="00000006"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Експорт українського гороху (</w:t>
      </w:r>
      <w:proofErr w:type="spellStart"/>
      <w:r>
        <w:rPr>
          <w:rFonts w:ascii="Times New Roman" w:eastAsia="Times New Roman" w:hAnsi="Times New Roman" w:cs="Times New Roman"/>
          <w:i/>
          <w:iCs/>
          <w:color w:val="000000"/>
          <w:sz w:val="28"/>
          <w:szCs w:val="28"/>
          <w:highlight w:val="white"/>
        </w:rPr>
        <w:t>Pisum</w:t>
      </w:r>
      <w:proofErr w:type="spellEnd"/>
      <w:r>
        <w:rPr>
          <w:rFonts w:ascii="Times New Roman" w:eastAsia="Times New Roman" w:hAnsi="Times New Roman" w:cs="Times New Roman"/>
          <w:i/>
          <w:iCs/>
          <w:color w:val="000000"/>
          <w:sz w:val="28"/>
          <w:szCs w:val="28"/>
          <w:highlight w:val="white"/>
        </w:rPr>
        <w:t xml:space="preserve"> </w:t>
      </w:r>
      <w:proofErr w:type="spellStart"/>
      <w:r>
        <w:rPr>
          <w:rFonts w:ascii="Times New Roman" w:eastAsia="Times New Roman" w:hAnsi="Times New Roman" w:cs="Times New Roman"/>
          <w:i/>
          <w:iCs/>
          <w:color w:val="000000"/>
          <w:sz w:val="28"/>
          <w:szCs w:val="28"/>
          <w:highlight w:val="white"/>
        </w:rPr>
        <w:t>sativum</w:t>
      </w:r>
      <w:proofErr w:type="spellEnd"/>
      <w:r>
        <w:rPr>
          <w:rFonts w:ascii="Times New Roman" w:eastAsia="Times New Roman" w:hAnsi="Times New Roman" w:cs="Times New Roman"/>
          <w:i/>
          <w:iCs/>
          <w:color w:val="000000"/>
          <w:sz w:val="28"/>
          <w:szCs w:val="28"/>
          <w:highlight w:val="white"/>
        </w:rPr>
        <w:t xml:space="preserve"> </w:t>
      </w:r>
      <w:r>
        <w:rPr>
          <w:rFonts w:ascii="Times New Roman" w:eastAsia="Times New Roman" w:hAnsi="Times New Roman" w:cs="Times New Roman"/>
          <w:color w:val="000000"/>
          <w:sz w:val="28"/>
          <w:szCs w:val="28"/>
          <w:highlight w:val="white"/>
        </w:rPr>
        <w:t>L.) до Китайської Народної Республіки здійснюється відповідно до статті 46 Закону України «Про карантин рослин», Порядку проведення інспектування, огляду, фітосанітарної експертизи (аналізів), повторної фітосанітарної (арбітражної) експертизи (аналізів), нагляду, обстеження, моніторингу, знезараження об’єктів регулювання, оформлення сертифікатів, передбачених Законом України “Про карантин рослин”, контролю за проведенням огляду в частині відбору зразків та вибіркового контролю за проведенням фітосанітарної експертизи (аналізів), який затверджено постановою Кабінету Міністрів України від 15 листопада 2019 р. № 1177 (далі – Порядок) та з урахуванням вимог Протоколу фітосанітарних вимог для експорту гороху з України до Китаю між Генеральною митною адміністрацією Китайської Народної Республіки (ГМА КНР) та Державною службою України з питань безпечності харчових продуктів та захисту споживачів (далі – Протокол), а також український горох має відповідати стандартам і вимогам КНР щодо безпеки, гігієни та якості харчових продуктів, які не передбачені Протоколом.</w:t>
      </w:r>
    </w:p>
    <w:p w14:paraId="00000007"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Увага! </w:t>
      </w:r>
      <w:r>
        <w:rPr>
          <w:rFonts w:ascii="Times New Roman" w:eastAsia="Times New Roman" w:hAnsi="Times New Roman" w:cs="Times New Roman"/>
          <w:b/>
          <w:bCs/>
          <w:color w:val="000000"/>
          <w:sz w:val="28"/>
          <w:szCs w:val="28"/>
          <w:highlight w:val="white"/>
        </w:rPr>
        <w:t>Держпродспоживслужба реєструє підприємства, які вирощують, експортують, переробляють та зберігають горох, що експортується до КНР</w:t>
      </w:r>
      <w:r>
        <w:rPr>
          <w:rFonts w:ascii="Times New Roman" w:eastAsia="Times New Roman" w:hAnsi="Times New Roman" w:cs="Times New Roman"/>
          <w:color w:val="000000"/>
          <w:sz w:val="28"/>
          <w:szCs w:val="28"/>
          <w:highlight w:val="white"/>
        </w:rPr>
        <w:t>, а також надає рекомендації ГМА КНР щодо перевірених підприємств з переробки чи зберігання гороху (стаття 4 Протоколу).</w:t>
      </w:r>
    </w:p>
    <w:p w14:paraId="00000008" w14:textId="77777777" w:rsidR="00204C7E" w:rsidRDefault="00204C7E">
      <w:pPr>
        <w:pBdr>
          <w:top w:val="nil"/>
          <w:left w:val="nil"/>
          <w:bottom w:val="nil"/>
          <w:right w:val="nil"/>
          <w:between w:val="nil"/>
        </w:pBdr>
        <w:spacing w:after="120" w:line="240" w:lineRule="auto"/>
        <w:ind w:left="1" w:hanging="3"/>
        <w:jc w:val="center"/>
        <w:rPr>
          <w:rFonts w:ascii="Times" w:eastAsia="Times" w:hAnsi="Times" w:cs="Times"/>
          <w:b/>
          <w:bCs/>
          <w:sz w:val="28"/>
          <w:szCs w:val="28"/>
          <w:highlight w:val="white"/>
        </w:rPr>
      </w:pPr>
    </w:p>
    <w:p w14:paraId="00000009" w14:textId="77777777" w:rsidR="00204C7E" w:rsidRDefault="00000000">
      <w:pPr>
        <w:pBdr>
          <w:top w:val="nil"/>
          <w:left w:val="nil"/>
          <w:bottom w:val="nil"/>
          <w:right w:val="nil"/>
          <w:between w:val="nil"/>
        </w:pBdr>
        <w:spacing w:after="120" w:line="240" w:lineRule="auto"/>
        <w:ind w:left="1" w:hanging="3"/>
        <w:rPr>
          <w:rFonts w:ascii="Times" w:eastAsia="Times" w:hAnsi="Times" w:cs="Times"/>
          <w:color w:val="000000"/>
          <w:sz w:val="28"/>
          <w:szCs w:val="28"/>
          <w:highlight w:val="white"/>
        </w:rPr>
      </w:pPr>
      <w:r>
        <w:rPr>
          <w:rFonts w:ascii="Times" w:eastAsia="Times" w:hAnsi="Times" w:cs="Times"/>
          <w:b/>
          <w:bCs/>
          <w:color w:val="000000"/>
          <w:sz w:val="28"/>
          <w:szCs w:val="28"/>
          <w:highlight w:val="white"/>
        </w:rPr>
        <w:t>Горох обов’язково має походити:</w:t>
      </w:r>
    </w:p>
    <w:p w14:paraId="0000000A" w14:textId="77777777" w:rsidR="00204C7E" w:rsidRDefault="00000000">
      <w:pPr>
        <w:numPr>
          <w:ilvl w:val="0"/>
          <w:numId w:val="2"/>
        </w:numPr>
        <w:pBdr>
          <w:top w:val="nil"/>
          <w:left w:val="nil"/>
          <w:bottom w:val="nil"/>
          <w:right w:val="nil"/>
          <w:between w:val="nil"/>
        </w:pBdr>
        <w:tabs>
          <w:tab w:val="left" w:pos="284"/>
        </w:tabs>
        <w:spacing w:after="120" w:line="240" w:lineRule="auto"/>
        <w:ind w:left="1" w:hanging="3"/>
        <w:jc w:val="both"/>
        <w:rPr>
          <w:rFonts w:ascii="Times" w:eastAsia="Times" w:hAnsi="Times" w:cs="Times"/>
          <w:color w:val="000000"/>
          <w:sz w:val="28"/>
          <w:szCs w:val="28"/>
          <w:highlight w:val="white"/>
        </w:rPr>
      </w:pPr>
      <w:r>
        <w:rPr>
          <w:rFonts w:ascii="Times" w:eastAsia="Times" w:hAnsi="Times" w:cs="Times"/>
          <w:color w:val="000000"/>
          <w:sz w:val="28"/>
          <w:szCs w:val="28"/>
          <w:highlight w:val="white"/>
        </w:rPr>
        <w:t>З місць вирощування, які за результатами обстеження відповідають вимогам Протоколу, а підприємства, що вирощують горох – включені  Держпродспоживслужбою до Переліку підприємств, які вирощують горох для експорту до КНР.</w:t>
      </w:r>
    </w:p>
    <w:p w14:paraId="0000000B" w14:textId="77777777" w:rsidR="00204C7E" w:rsidRDefault="00000000">
      <w:pPr>
        <w:numPr>
          <w:ilvl w:val="0"/>
          <w:numId w:val="2"/>
        </w:numPr>
        <w:pBdr>
          <w:top w:val="nil"/>
          <w:left w:val="nil"/>
          <w:bottom w:val="nil"/>
          <w:right w:val="nil"/>
          <w:between w:val="nil"/>
        </w:pBdr>
        <w:tabs>
          <w:tab w:val="left" w:pos="284"/>
        </w:tabs>
        <w:spacing w:after="120" w:line="240" w:lineRule="auto"/>
        <w:ind w:left="1" w:hanging="3"/>
        <w:jc w:val="both"/>
        <w:rPr>
          <w:rFonts w:ascii="Times" w:eastAsia="Times" w:hAnsi="Times" w:cs="Times"/>
          <w:color w:val="000000"/>
          <w:sz w:val="28"/>
          <w:szCs w:val="28"/>
          <w:highlight w:val="white"/>
        </w:rPr>
      </w:pPr>
      <w:r>
        <w:rPr>
          <w:rFonts w:ascii="Times" w:eastAsia="Times" w:hAnsi="Times" w:cs="Times"/>
          <w:color w:val="000000"/>
          <w:sz w:val="28"/>
          <w:szCs w:val="28"/>
          <w:highlight w:val="white"/>
        </w:rPr>
        <w:t xml:space="preserve">З місць переробки та зберігання гороху, які за результатами проведених заходів відповідають фітосанітарним </w:t>
      </w:r>
      <w:r>
        <w:rPr>
          <w:rFonts w:ascii="Times" w:eastAsia="Times" w:hAnsi="Times" w:cs="Times"/>
          <w:sz w:val="28"/>
          <w:szCs w:val="28"/>
          <w:highlight w:val="white"/>
        </w:rPr>
        <w:t>вимогам</w:t>
      </w:r>
      <w:r>
        <w:rPr>
          <w:rFonts w:ascii="Times" w:eastAsia="Times" w:hAnsi="Times" w:cs="Times"/>
          <w:color w:val="000000"/>
          <w:sz w:val="28"/>
          <w:szCs w:val="28"/>
          <w:highlight w:val="white"/>
        </w:rPr>
        <w:t xml:space="preserve"> Протоколу та відповідають вимогам національного </w:t>
      </w:r>
      <w:r>
        <w:rPr>
          <w:rFonts w:ascii="Times New Roman" w:eastAsia="Times New Roman" w:hAnsi="Times New Roman" w:cs="Times New Roman"/>
          <w:sz w:val="28"/>
          <w:szCs w:val="28"/>
          <w:highlight w:val="white"/>
        </w:rPr>
        <w:t>законодавства та вимогам КНР щодо безпеки, гігієни та якості харчових продуктів, а також зареєстровані ГМА КНР</w:t>
      </w:r>
      <w:r>
        <w:rPr>
          <w:rFonts w:ascii="Times" w:eastAsia="Times" w:hAnsi="Times" w:cs="Times"/>
          <w:color w:val="000000"/>
          <w:sz w:val="28"/>
          <w:szCs w:val="28"/>
          <w:highlight w:val="white"/>
        </w:rPr>
        <w:t>.</w:t>
      </w:r>
    </w:p>
    <w:p w14:paraId="0000000C" w14:textId="77777777" w:rsidR="00204C7E" w:rsidRDefault="00204C7E">
      <w:pPr>
        <w:pBdr>
          <w:top w:val="nil"/>
          <w:left w:val="nil"/>
          <w:bottom w:val="nil"/>
          <w:right w:val="nil"/>
          <w:between w:val="nil"/>
        </w:pBdr>
        <w:spacing w:after="120" w:line="240" w:lineRule="auto"/>
        <w:ind w:left="1" w:hanging="3"/>
        <w:jc w:val="both"/>
        <w:rPr>
          <w:rFonts w:ascii="Times New Roman" w:eastAsia="Times New Roman" w:hAnsi="Times New Roman" w:cs="Times New Roman"/>
          <w:sz w:val="28"/>
          <w:szCs w:val="28"/>
          <w:highlight w:val="white"/>
        </w:rPr>
      </w:pPr>
    </w:p>
    <w:p w14:paraId="0000000D" w14:textId="77777777" w:rsidR="00204C7E" w:rsidRDefault="00000000">
      <w:pPr>
        <w:pBdr>
          <w:top w:val="nil"/>
          <w:left w:val="nil"/>
          <w:bottom w:val="nil"/>
          <w:right w:val="nil"/>
          <w:between w:val="nil"/>
        </w:pBdr>
        <w:spacing w:after="120" w:line="240" w:lineRule="auto"/>
        <w:ind w:left="1" w:hanging="3"/>
        <w:jc w:val="both"/>
        <w:rPr>
          <w:rFonts w:ascii="Times" w:eastAsia="Times" w:hAnsi="Times" w:cs="Times"/>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Держпродспоживслужба оприлюднює </w:t>
      </w:r>
      <w:r>
        <w:rPr>
          <w:rFonts w:ascii="Times" w:eastAsia="Times" w:hAnsi="Times" w:cs="Times"/>
          <w:b/>
          <w:bCs/>
          <w:color w:val="000000"/>
          <w:sz w:val="28"/>
          <w:szCs w:val="28"/>
          <w:highlight w:val="white"/>
        </w:rPr>
        <w:t>на своєму офіційному веб-сайті:</w:t>
      </w:r>
    </w:p>
    <w:p w14:paraId="0000000E" w14:textId="77777777" w:rsidR="00204C7E" w:rsidRDefault="00000000">
      <w:pPr>
        <w:numPr>
          <w:ilvl w:val="0"/>
          <w:numId w:val="3"/>
        </w:numPr>
        <w:pBdr>
          <w:top w:val="nil"/>
          <w:left w:val="nil"/>
          <w:bottom w:val="nil"/>
          <w:right w:val="nil"/>
          <w:between w:val="nil"/>
        </w:pBdr>
        <w:tabs>
          <w:tab w:val="left" w:pos="284"/>
        </w:tabs>
        <w:spacing w:after="120" w:line="240" w:lineRule="auto"/>
        <w:ind w:left="1" w:hanging="3"/>
        <w:rPr>
          <w:rFonts w:ascii="Times" w:eastAsia="Times" w:hAnsi="Times" w:cs="Times"/>
          <w:color w:val="000000"/>
          <w:sz w:val="28"/>
          <w:szCs w:val="28"/>
          <w:highlight w:val="white"/>
        </w:rPr>
      </w:pPr>
      <w:r>
        <w:rPr>
          <w:rFonts w:ascii="Times" w:eastAsia="Times" w:hAnsi="Times" w:cs="Times"/>
          <w:color w:val="000000"/>
          <w:sz w:val="28"/>
          <w:szCs w:val="28"/>
          <w:highlight w:val="white"/>
        </w:rPr>
        <w:t xml:space="preserve">Перелік підприємств, </w:t>
      </w:r>
      <w:r>
        <w:rPr>
          <w:rFonts w:ascii="Times" w:eastAsia="Times" w:hAnsi="Times" w:cs="Times"/>
          <w:b/>
          <w:bCs/>
          <w:color w:val="000000"/>
          <w:sz w:val="28"/>
          <w:szCs w:val="28"/>
          <w:highlight w:val="white"/>
        </w:rPr>
        <w:t>які вирощують горох</w:t>
      </w:r>
      <w:r>
        <w:rPr>
          <w:rFonts w:ascii="Times" w:eastAsia="Times" w:hAnsi="Times" w:cs="Times"/>
          <w:color w:val="000000"/>
          <w:sz w:val="28"/>
          <w:szCs w:val="28"/>
          <w:highlight w:val="white"/>
        </w:rPr>
        <w:t xml:space="preserve"> для експорту до КНР.</w:t>
      </w:r>
    </w:p>
    <w:p w14:paraId="0000000F" w14:textId="77777777" w:rsidR="00204C7E" w:rsidRDefault="00000000">
      <w:pPr>
        <w:numPr>
          <w:ilvl w:val="0"/>
          <w:numId w:val="3"/>
        </w:numPr>
        <w:pBdr>
          <w:top w:val="nil"/>
          <w:left w:val="nil"/>
          <w:bottom w:val="nil"/>
          <w:right w:val="nil"/>
          <w:between w:val="nil"/>
        </w:pBdr>
        <w:tabs>
          <w:tab w:val="left" w:pos="142"/>
          <w:tab w:val="left" w:pos="284"/>
        </w:tabs>
        <w:spacing w:after="120" w:line="240" w:lineRule="auto"/>
        <w:ind w:left="1" w:hanging="3"/>
        <w:rPr>
          <w:rFonts w:ascii="Times" w:eastAsia="Times" w:hAnsi="Times" w:cs="Times"/>
          <w:color w:val="000000"/>
          <w:sz w:val="28"/>
          <w:szCs w:val="28"/>
          <w:highlight w:val="white"/>
        </w:rPr>
      </w:pPr>
      <w:r>
        <w:rPr>
          <w:rFonts w:ascii="Times" w:eastAsia="Times" w:hAnsi="Times" w:cs="Times"/>
          <w:color w:val="000000"/>
          <w:sz w:val="28"/>
          <w:szCs w:val="28"/>
          <w:highlight w:val="white"/>
        </w:rPr>
        <w:t xml:space="preserve">Перелік підприємств, </w:t>
      </w:r>
      <w:r>
        <w:rPr>
          <w:rFonts w:ascii="Times" w:eastAsia="Times" w:hAnsi="Times" w:cs="Times"/>
          <w:b/>
          <w:bCs/>
          <w:color w:val="000000"/>
          <w:sz w:val="28"/>
          <w:szCs w:val="28"/>
          <w:highlight w:val="white"/>
        </w:rPr>
        <w:t>які планують експорт</w:t>
      </w:r>
      <w:r>
        <w:rPr>
          <w:rFonts w:ascii="Times" w:eastAsia="Times" w:hAnsi="Times" w:cs="Times"/>
          <w:color w:val="000000"/>
          <w:sz w:val="28"/>
          <w:szCs w:val="28"/>
          <w:highlight w:val="white"/>
        </w:rPr>
        <w:t xml:space="preserve"> гороху до КНР.</w:t>
      </w:r>
    </w:p>
    <w:p w14:paraId="00000010" w14:textId="77777777" w:rsidR="00204C7E" w:rsidRDefault="00000000">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b/>
          <w:bCs/>
          <w:color w:val="000000"/>
          <w:sz w:val="28"/>
          <w:szCs w:val="28"/>
          <w:highlight w:val="white"/>
        </w:rPr>
        <w:t xml:space="preserve">ВАЖЛИВО! </w:t>
      </w:r>
      <w:r>
        <w:rPr>
          <w:rFonts w:ascii="Times New Roman" w:eastAsia="Times New Roman" w:hAnsi="Times New Roman" w:cs="Times New Roman"/>
          <w:color w:val="000000"/>
          <w:sz w:val="28"/>
          <w:szCs w:val="28"/>
          <w:highlight w:val="white"/>
        </w:rPr>
        <w:t>Відповідно до статті 4 Протоколу,</w:t>
      </w: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експорт гороху до КНР може здійснювати особа, яка включена Держпродспоживслужбою до Переліку підприємств, які планують експорт гороху до КНР та </w:t>
      </w:r>
      <w:r>
        <w:rPr>
          <w:rFonts w:ascii="Times New Roman" w:eastAsia="Times New Roman" w:hAnsi="Times New Roman" w:cs="Times New Roman"/>
          <w:b/>
          <w:bCs/>
          <w:color w:val="000000"/>
          <w:sz w:val="28"/>
          <w:szCs w:val="28"/>
          <w:highlight w:val="white"/>
        </w:rPr>
        <w:t xml:space="preserve">лише із підприємств з переробки та зберігання, зареєстрованих ГМА КНР, яким присвоєно реєстраційний номер (після опублікування переліку цих підприємств на </w:t>
      </w:r>
      <w:r>
        <w:rPr>
          <w:rFonts w:ascii="Times New Roman" w:eastAsia="Times New Roman" w:hAnsi="Times New Roman" w:cs="Times New Roman"/>
          <w:b/>
          <w:bCs/>
          <w:color w:val="000000"/>
          <w:sz w:val="28"/>
          <w:szCs w:val="28"/>
          <w:highlight w:val="white"/>
        </w:rPr>
        <w:lastRenderedPageBreak/>
        <w:t>офіційному веб-сайті ГМА КНР, за посиланням</w:t>
      </w:r>
      <w:r>
        <w:rPr>
          <w:rFonts w:ascii="Times New Roman" w:eastAsia="Times New Roman" w:hAnsi="Times New Roman" w:cs="Times New Roman"/>
          <w:b/>
          <w:bCs/>
          <w:sz w:val="28"/>
          <w:szCs w:val="28"/>
          <w:highlight w:val="white"/>
        </w:rPr>
        <w:t xml:space="preserve">: </w:t>
      </w:r>
      <w:hyperlink r:id="rId8">
        <w:r w:rsidR="00204C7E">
          <w:rPr>
            <w:rFonts w:ascii="Times New Roman" w:eastAsia="Times New Roman" w:hAnsi="Times New Roman" w:cs="Times New Roman"/>
            <w:b/>
            <w:bCs/>
            <w:color w:val="1155CC"/>
            <w:sz w:val="26"/>
            <w:szCs w:val="26"/>
            <w:highlight w:val="white"/>
            <w:u w:val="single"/>
          </w:rPr>
          <w:t>https://scintl.chinaport.gov.cn/aprwebserver/pages/apr/public/html/companyList.html</w:t>
        </w:r>
      </w:hyperlink>
      <w:r>
        <w:rPr>
          <w:rFonts w:ascii="Times New Roman" w:eastAsia="Times New Roman" w:hAnsi="Times New Roman" w:cs="Times New Roman"/>
          <w:b/>
          <w:bCs/>
          <w:sz w:val="26"/>
          <w:szCs w:val="26"/>
          <w:highlight w:val="white"/>
        </w:rPr>
        <w:t>)</w:t>
      </w:r>
      <w:r>
        <w:rPr>
          <w:rFonts w:ascii="Times New Roman" w:eastAsia="Times New Roman" w:hAnsi="Times New Roman" w:cs="Times New Roman"/>
          <w:b/>
          <w:bCs/>
          <w:color w:val="000000"/>
          <w:sz w:val="26"/>
          <w:szCs w:val="26"/>
          <w:highlight w:val="white"/>
        </w:rPr>
        <w:t>.</w:t>
      </w:r>
    </w:p>
    <w:p w14:paraId="00000011" w14:textId="77777777" w:rsidR="00204C7E" w:rsidRDefault="00204C7E">
      <w:pPr>
        <w:pBdr>
          <w:top w:val="nil"/>
          <w:left w:val="nil"/>
          <w:bottom w:val="nil"/>
          <w:right w:val="nil"/>
          <w:between w:val="nil"/>
        </w:pBdr>
        <w:spacing w:after="120" w:line="240" w:lineRule="auto"/>
        <w:ind w:left="1" w:hanging="3"/>
        <w:jc w:val="center"/>
        <w:rPr>
          <w:rFonts w:ascii="Times New Roman" w:eastAsia="Times New Roman" w:hAnsi="Times New Roman" w:cs="Times New Roman"/>
          <w:b/>
          <w:bCs/>
          <w:sz w:val="28"/>
          <w:szCs w:val="28"/>
          <w:highlight w:val="white"/>
        </w:rPr>
      </w:pPr>
    </w:p>
    <w:p w14:paraId="00000012" w14:textId="77777777" w:rsidR="00204C7E" w:rsidRDefault="00000000">
      <w:pPr>
        <w:pBdr>
          <w:top w:val="nil"/>
          <w:left w:val="nil"/>
          <w:bottom w:val="nil"/>
          <w:right w:val="nil"/>
          <w:between w:val="nil"/>
        </w:pBdr>
        <w:spacing w:after="120" w:line="240" w:lineRule="auto"/>
        <w:ind w:left="1" w:hanging="3"/>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ІІ. Фітосанітарні заходи.</w:t>
      </w:r>
    </w:p>
    <w:p w14:paraId="00000013" w14:textId="77777777" w:rsidR="00204C7E" w:rsidRDefault="00000000">
      <w:pPr>
        <w:spacing w:before="240" w:after="120" w:line="276" w:lineRule="auto"/>
        <w:ind w:left="1" w:hanging="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 метою здійснення фітосанітарних заходів, суб’єкт господарювання повинен пройти процедуру реєстрації у сфері карантину рослин відповідно до статті 27 Закону України «Про карантин рослин» та Порядку реєстрації осіб, які здійснюють господарську діяльність, пов’язану з виробництвом та обігом об’єктів регулювання, затвердженого наказом Міністерства аграрної політики та продовольства України від 27 травня 2024 року № 1640.</w:t>
      </w:r>
    </w:p>
    <w:p w14:paraId="00000014"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Держпродспоживслужба проводить нагляд протягом періоду вегетації та зберігання гороху на наявність карантинних шкідливих організмів, що контролюються в КНР та перераховані в Додатку до Протоколу, подає на вимогу ГМА звіти нагляду про виявлення таких шкідливих організмів в місцях вирощування, включаючи методи та результати нагляду, а також іншу інформацію, яку вимагає ГМА.</w:t>
      </w:r>
    </w:p>
    <w:p w14:paraId="00000015"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Держпродспоживслужба повинна контролювати підприємства, які вирощують горох з метою створення ними інтегрованої системи захисту рослин за шкідливими організмами (ІЗР) в місцях вирощування гороху та впроваджувати ефективні заходи контролю для зменшення наявності шкідливих організмів, які контролюються в КНР та пер</w:t>
      </w:r>
      <w:r>
        <w:rPr>
          <w:rFonts w:ascii="Times" w:eastAsia="Times" w:hAnsi="Times" w:cs="Times"/>
          <w:color w:val="000000"/>
          <w:sz w:val="28"/>
          <w:szCs w:val="28"/>
          <w:highlight w:val="white"/>
        </w:rPr>
        <w:t xml:space="preserve">ераховані в Додатку до Протоколу. </w:t>
      </w:r>
      <w:r>
        <w:rPr>
          <w:rFonts w:ascii="Times New Roman" w:eastAsia="Times New Roman" w:hAnsi="Times New Roman" w:cs="Times New Roman"/>
          <w:color w:val="000000"/>
          <w:sz w:val="28"/>
          <w:szCs w:val="28"/>
          <w:highlight w:val="white"/>
        </w:rPr>
        <w:t>(стаття 3 Протоколу).</w:t>
      </w:r>
    </w:p>
    <w:p w14:paraId="00000016"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З метою проведення обстежень місць вирощування гороху протягом періоду вегетації, щодо виявлення </w:t>
      </w:r>
      <w:r>
        <w:rPr>
          <w:rFonts w:ascii="Times" w:eastAsia="Times" w:hAnsi="Times" w:cs="Times"/>
          <w:color w:val="000000"/>
          <w:sz w:val="28"/>
          <w:szCs w:val="28"/>
          <w:highlight w:val="white"/>
        </w:rPr>
        <w:t>шкідливих організмів, які контролюються в КНР та перераховані в Додатку до Протоколу, а також на відповідність вимогам Протоколу,</w:t>
      </w:r>
      <w:r>
        <w:rPr>
          <w:rFonts w:ascii="Times New Roman" w:eastAsia="Times New Roman" w:hAnsi="Times New Roman" w:cs="Times New Roman"/>
          <w:color w:val="000000"/>
          <w:sz w:val="28"/>
          <w:szCs w:val="28"/>
          <w:highlight w:val="white"/>
        </w:rPr>
        <w:t xml:space="preserve"> зацікавлена особа звертається до головного управління Держпродспоживслужби у відповідній області за місцем розташування посівів гороху.</w:t>
      </w:r>
    </w:p>
    <w:p w14:paraId="00000017"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Підприємство з переробки та зберігання гороху, з яких планується експорт гороху до КНР, має звернутися до головного управління Держпродспоживслужби у відповідній області за місцем розміщення виробничої потужності для здійснення обстеження щодо виявлення </w:t>
      </w:r>
      <w:r>
        <w:rPr>
          <w:rFonts w:ascii="Times" w:eastAsia="Times" w:hAnsi="Times" w:cs="Times"/>
          <w:color w:val="000000"/>
          <w:sz w:val="28"/>
          <w:szCs w:val="28"/>
          <w:highlight w:val="white"/>
        </w:rPr>
        <w:t>шкідливих організмів, які контролюються в КНР та перераховані в Додатку до Протоколу, а також на відповідність вимогам Протоколу.</w:t>
      </w:r>
    </w:p>
    <w:p w14:paraId="00000018" w14:textId="2DF8D2BB" w:rsidR="00204C7E" w:rsidRDefault="00000000" w:rsidP="009B4D2C">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Плата за проведення обстеження стягується в розмірі відповідно до Переліку платних послуг, які надаються головними управліннями Держпродспоживслужби в областях та м. Києві і бюджетними установами, що належать до сфери управління Державної служби з питань безпечності харчових продуктів та захисту споживачів, з питань карантину рослин та розмір плати за їх надання, затвердженому постановою Кабінету Міністрів України від 28 грудня 2011 р. № 1348.</w:t>
      </w:r>
    </w:p>
    <w:p w14:paraId="00000019" w14:textId="77777777" w:rsidR="00204C7E" w:rsidRDefault="00000000" w:rsidP="009B4D2C">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Відповідно до пункту 73 Порядку, обстеження може проводитися одночасно на виявлення декількох видів шкідливих організмів у випадках відповідності фенологічних фаз періоду вегетації рослин та біології розвитку таких організмів.</w:t>
      </w:r>
    </w:p>
    <w:p w14:paraId="0000001A" w14:textId="77777777" w:rsidR="00204C7E" w:rsidRDefault="00000000" w:rsidP="009B4D2C">
      <w:pPr>
        <w:shd w:val="clear" w:color="auto" w:fill="FFFFFF"/>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 xml:space="preserve">За результатами проведеного обстеження посівів гороху та/або місць переробки чи зберігання гороху щодо відсутності шкідливих організмів, що контролюються в КНР </w:t>
      </w:r>
      <w:r>
        <w:rPr>
          <w:rFonts w:ascii="Times" w:eastAsia="Times" w:hAnsi="Times" w:cs="Times"/>
          <w:sz w:val="28"/>
          <w:szCs w:val="28"/>
          <w:highlight w:val="white"/>
        </w:rPr>
        <w:t xml:space="preserve">і перераховані в Додатку до Протоколу та </w:t>
      </w:r>
      <w:r>
        <w:rPr>
          <w:rFonts w:ascii="Times New Roman" w:eastAsia="Times New Roman" w:hAnsi="Times New Roman" w:cs="Times New Roman"/>
          <w:sz w:val="28"/>
          <w:szCs w:val="28"/>
          <w:highlight w:val="white"/>
        </w:rPr>
        <w:t>відповідності вимогам Протоколу</w:t>
      </w:r>
      <w:r>
        <w:rPr>
          <w:rFonts w:ascii="Times" w:eastAsia="Times" w:hAnsi="Times" w:cs="Times"/>
          <w:sz w:val="28"/>
          <w:szCs w:val="28"/>
          <w:highlight w:val="white"/>
        </w:rPr>
        <w:t xml:space="preserve">, </w:t>
      </w:r>
      <w:r>
        <w:rPr>
          <w:rFonts w:ascii="Times New Roman" w:eastAsia="Times New Roman" w:hAnsi="Times New Roman" w:cs="Times New Roman"/>
          <w:sz w:val="28"/>
          <w:szCs w:val="28"/>
          <w:highlight w:val="white"/>
        </w:rPr>
        <w:t xml:space="preserve">державний фітосанітарний інспектор складає акт про результати нагляду, вимоги до </w:t>
      </w:r>
      <w:r>
        <w:rPr>
          <w:rFonts w:ascii="Times New Roman" w:eastAsia="Times New Roman" w:hAnsi="Times New Roman" w:cs="Times New Roman"/>
          <w:sz w:val="28"/>
          <w:szCs w:val="28"/>
          <w:highlight w:val="white"/>
        </w:rPr>
        <w:lastRenderedPageBreak/>
        <w:t xml:space="preserve">якого визначені у </w:t>
      </w:r>
      <w:hyperlink r:id="rId9" w:anchor="n476">
        <w:r w:rsidR="00204C7E">
          <w:rPr>
            <w:rFonts w:ascii="Times New Roman" w:eastAsia="Times New Roman" w:hAnsi="Times New Roman" w:cs="Times New Roman"/>
            <w:sz w:val="28"/>
            <w:szCs w:val="28"/>
            <w:highlight w:val="white"/>
          </w:rPr>
          <w:t>додатку 11</w:t>
        </w:r>
      </w:hyperlink>
      <w:r>
        <w:rPr>
          <w:rFonts w:ascii="Times New Roman" w:eastAsia="Times New Roman" w:hAnsi="Times New Roman" w:cs="Times New Roman"/>
          <w:sz w:val="28"/>
          <w:szCs w:val="28"/>
          <w:highlight w:val="white"/>
        </w:rPr>
        <w:t xml:space="preserve"> до постанови Кабінету Міністрів України від 15 листопада 2019 р. № 1177.</w:t>
      </w:r>
    </w:p>
    <w:p w14:paraId="0000001B" w14:textId="77777777" w:rsidR="00204C7E" w:rsidRDefault="00000000">
      <w:pPr>
        <w:pBdr>
          <w:top w:val="nil"/>
          <w:left w:val="nil"/>
          <w:bottom w:val="nil"/>
          <w:right w:val="nil"/>
          <w:between w:val="nil"/>
        </w:pBdr>
        <w:spacing w:after="120" w:line="240" w:lineRule="auto"/>
        <w:ind w:left="1" w:hanging="3"/>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ІІІ. Заходи контролю за підприємствами з переробки та зберігання гороху (потужності) з метою гарантування відповідності українського гороху стандартам і вимогам КНР щодо безпеки, гігієни та якості харчових продуктів.</w:t>
      </w:r>
    </w:p>
    <w:p w14:paraId="0000001C"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Законом України «Про основні принципи та вимоги до безпечності та якості харчових продуктів» (далі – Закон № 771) врегульовані відносини між органами виконавчої влади, операторами ринку харчових продуктів та споживачами харчових продуктів і визначає порядок забезпечення безпечності та окремих показників якості харчових продуктів, що виробляються, перебувають в обігу, ввозяться (пересилаються) на митну територію України та/або вивозяться (пересилаються) з неї.</w:t>
      </w:r>
    </w:p>
    <w:p w14:paraId="0000001D"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Згідно з частиною першою статті 25 Закону № 771 державній реєстрації підлягають потужності з виробництва та/або обігу харчових продуктів, на які не вимагається отримання експлуатаційного дозволу.</w:t>
      </w:r>
    </w:p>
    <w:p w14:paraId="0000001E"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Наказом Міністерства аграрної політики та продовольства України</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highlight w:val="white"/>
        </w:rPr>
        <w:t xml:space="preserve">від 15 лютого 2024 року № 431 «Про затвердження Порядку державної реєстрації </w:t>
      </w:r>
      <w:proofErr w:type="spellStart"/>
      <w:r>
        <w:rPr>
          <w:rFonts w:ascii="Times New Roman" w:eastAsia="Times New Roman" w:hAnsi="Times New Roman" w:cs="Times New Roman"/>
          <w:color w:val="000000"/>
          <w:sz w:val="28"/>
          <w:szCs w:val="28"/>
          <w:highlight w:val="white"/>
        </w:rPr>
        <w:t>потужностей</w:t>
      </w:r>
      <w:proofErr w:type="spellEnd"/>
      <w:r>
        <w:rPr>
          <w:rFonts w:ascii="Times New Roman" w:eastAsia="Times New Roman" w:hAnsi="Times New Roman" w:cs="Times New Roman"/>
          <w:color w:val="000000"/>
          <w:sz w:val="28"/>
          <w:szCs w:val="28"/>
          <w:highlight w:val="white"/>
        </w:rPr>
        <w:t xml:space="preserve"> та Порядку ведення державного реєстру операторів ринку та їхніх </w:t>
      </w:r>
      <w:proofErr w:type="spellStart"/>
      <w:r>
        <w:rPr>
          <w:rFonts w:ascii="Times New Roman" w:eastAsia="Times New Roman" w:hAnsi="Times New Roman" w:cs="Times New Roman"/>
          <w:color w:val="000000"/>
          <w:sz w:val="28"/>
          <w:szCs w:val="28"/>
          <w:highlight w:val="white"/>
        </w:rPr>
        <w:t>потужностей</w:t>
      </w:r>
      <w:proofErr w:type="spellEnd"/>
      <w:r>
        <w:rPr>
          <w:rFonts w:ascii="Times New Roman" w:eastAsia="Times New Roman" w:hAnsi="Times New Roman" w:cs="Times New Roman"/>
          <w:color w:val="000000"/>
          <w:sz w:val="28"/>
          <w:szCs w:val="28"/>
          <w:highlight w:val="white"/>
        </w:rPr>
        <w:t xml:space="preserve">», зареєстрованим в Міністерстві юстиції України 04 квітня 2024 року за № 501/41846, затверджено Порядок державної реєстрації </w:t>
      </w:r>
      <w:proofErr w:type="spellStart"/>
      <w:r>
        <w:rPr>
          <w:rFonts w:ascii="Times New Roman" w:eastAsia="Times New Roman" w:hAnsi="Times New Roman" w:cs="Times New Roman"/>
          <w:color w:val="000000"/>
          <w:sz w:val="28"/>
          <w:szCs w:val="28"/>
          <w:highlight w:val="white"/>
        </w:rPr>
        <w:t>потужностей</w:t>
      </w:r>
      <w:proofErr w:type="spellEnd"/>
      <w:r>
        <w:rPr>
          <w:rFonts w:ascii="Times New Roman" w:eastAsia="Times New Roman" w:hAnsi="Times New Roman" w:cs="Times New Roman"/>
          <w:color w:val="000000"/>
          <w:sz w:val="28"/>
          <w:szCs w:val="28"/>
          <w:highlight w:val="white"/>
        </w:rPr>
        <w:t xml:space="preserve"> (далі – Порядок № 431).</w:t>
      </w:r>
    </w:p>
    <w:p w14:paraId="0000001F"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Так, пунктом 3 розділу І Порядку № 431 визначено, зокрема, що державній реєстрації підлягає кожна окрема потужність оператора ринку, що використовується як потужність з реалізації харчових продуктів кінцевим споживачам.</w:t>
      </w:r>
    </w:p>
    <w:p w14:paraId="00000020"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Для державної реєстрації потужності оператор ринку звертається до територіального органу Держпродспоживслужби за </w:t>
      </w:r>
      <w:proofErr w:type="spellStart"/>
      <w:r>
        <w:rPr>
          <w:rFonts w:ascii="Times New Roman" w:eastAsia="Times New Roman" w:hAnsi="Times New Roman" w:cs="Times New Roman"/>
          <w:color w:val="000000"/>
          <w:sz w:val="28"/>
          <w:szCs w:val="28"/>
          <w:highlight w:val="white"/>
        </w:rPr>
        <w:t>адресою</w:t>
      </w:r>
      <w:proofErr w:type="spellEnd"/>
      <w:r>
        <w:rPr>
          <w:rFonts w:ascii="Times New Roman" w:eastAsia="Times New Roman" w:hAnsi="Times New Roman" w:cs="Times New Roman"/>
          <w:color w:val="000000"/>
          <w:sz w:val="28"/>
          <w:szCs w:val="28"/>
          <w:highlight w:val="white"/>
        </w:rPr>
        <w:t xml:space="preserve"> потужності.</w:t>
      </w:r>
    </w:p>
    <w:p w14:paraId="00000021"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Під час державної реєстрації потужності присвоюється особистий реєстраційний номер.</w:t>
      </w:r>
    </w:p>
    <w:p w14:paraId="00000022"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Таким чином, з метою включення підприємства до </w:t>
      </w:r>
      <w:r>
        <w:rPr>
          <w:rFonts w:ascii="Times" w:eastAsia="Times" w:hAnsi="Times" w:cs="Times"/>
          <w:color w:val="000000"/>
          <w:sz w:val="28"/>
          <w:szCs w:val="28"/>
          <w:highlight w:val="white"/>
        </w:rPr>
        <w:t>Переліку підприємств, які переробляють та зберігають горох,</w:t>
      </w:r>
      <w:r>
        <w:rPr>
          <w:color w:val="000000"/>
          <w:highlight w:val="white"/>
        </w:rPr>
        <w:t xml:space="preserve"> </w:t>
      </w:r>
      <w:r>
        <w:rPr>
          <w:rFonts w:ascii="Times" w:eastAsia="Times" w:hAnsi="Times" w:cs="Times"/>
          <w:color w:val="000000"/>
          <w:sz w:val="28"/>
          <w:szCs w:val="28"/>
          <w:highlight w:val="white"/>
        </w:rPr>
        <w:t xml:space="preserve">що експортується до КНР, місце зберігання повинно бути зареєстроване як </w:t>
      </w:r>
      <w:r>
        <w:rPr>
          <w:rFonts w:ascii="Times New Roman" w:eastAsia="Times New Roman" w:hAnsi="Times New Roman" w:cs="Times New Roman"/>
          <w:color w:val="000000"/>
          <w:sz w:val="28"/>
          <w:szCs w:val="28"/>
          <w:highlight w:val="white"/>
        </w:rPr>
        <w:t>потужність оператора ринку з присвоєнням особистого реєстраційного номеру.</w:t>
      </w:r>
    </w:p>
    <w:p w14:paraId="00000024" w14:textId="02A70C90" w:rsidR="00204C7E" w:rsidRDefault="00000000" w:rsidP="00CC6F01">
      <w:pPr>
        <w:spacing w:after="120" w:line="240" w:lineRule="auto"/>
        <w:ind w:left="1" w:hanging="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 метою підтвердження відповідності вимогам національного законодавства</w:t>
      </w:r>
      <w:r w:rsidR="00CC6F0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та КНР, підприємство з переробки та зберігання гороху, з яких планується експорт гороху до КНР, має подати заяву щодо здійснення позапланового заходу державного нагляду (контролю) у сфері безпечності та окремих показників якості харчових продуктів за його бажанням до відповідного територіального органу Держпродспоживслужби за місцем розміщення виробничої потужності.</w:t>
      </w:r>
    </w:p>
    <w:p w14:paraId="00000025" w14:textId="77777777" w:rsidR="00204C7E" w:rsidRDefault="00000000" w:rsidP="00CC6F01">
      <w:pPr>
        <w:spacing w:after="120" w:line="240" w:lineRule="auto"/>
        <w:ind w:left="1" w:hanging="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результатами позапланового заходу державного нагляду (контролю) на відповідність національного законодавства та вимогам КНР, територіальний орган Держпродспоживслужби складає відповідний акт стосовно дотримання операторами ринку вимог законодавства про харчові продукти, затверджений наказом Міністерства аграрної політики та продовольства України від 08 серпня </w:t>
      </w:r>
      <w:r>
        <w:rPr>
          <w:rFonts w:ascii="Times New Roman" w:eastAsia="Times New Roman" w:hAnsi="Times New Roman" w:cs="Times New Roman"/>
          <w:sz w:val="28"/>
          <w:szCs w:val="28"/>
          <w:highlight w:val="white"/>
        </w:rPr>
        <w:lastRenderedPageBreak/>
        <w:t>2023 року № 1503, зареєстрованим в Міністерстві юстиції України 08 вересня 2023 року за № 1597/40653.</w:t>
      </w:r>
    </w:p>
    <w:p w14:paraId="00000026" w14:textId="77777777" w:rsidR="00204C7E" w:rsidRDefault="00000000" w:rsidP="00CC6F01">
      <w:pPr>
        <w:spacing w:after="120" w:line="240" w:lineRule="auto"/>
        <w:ind w:left="1" w:hanging="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Відповідно статті 20 Закону України «Про основні принципи та вимоги до безпечності та якості харчових продуктів» оператори ринку зокрема, зобов’язані розробляти, вводити в дію та застосовувати постійно діючі процедури, що засновані на принципах системи аналізу небезпечних факторів та контролю у критичних точках, а також забезпечувати належну підготовку з питань застосування постійно діючих процедур, що базуються на принципах системи аналізу небезпечних факторів та контролю у критичних точках, осіб, які є відповідальними за ці процедури, під час виробництва та обігу харчових продуктів, а також забезпечувати </w:t>
      </w:r>
      <w:proofErr w:type="spellStart"/>
      <w:r>
        <w:rPr>
          <w:rFonts w:ascii="Times New Roman" w:eastAsia="Times New Roman" w:hAnsi="Times New Roman" w:cs="Times New Roman"/>
          <w:sz w:val="28"/>
          <w:szCs w:val="28"/>
          <w:highlight w:val="white"/>
        </w:rPr>
        <w:t>простежуваність</w:t>
      </w:r>
      <w:proofErr w:type="spellEnd"/>
      <w:r>
        <w:rPr>
          <w:rFonts w:ascii="Times New Roman" w:eastAsia="Times New Roman" w:hAnsi="Times New Roman" w:cs="Times New Roman"/>
          <w:sz w:val="28"/>
          <w:szCs w:val="28"/>
          <w:highlight w:val="white"/>
        </w:rPr>
        <w:t xml:space="preserve"> та надавати інформацію, передбачену статтею 22 цього Закону.</w:t>
      </w:r>
    </w:p>
    <w:p w14:paraId="1E45A346" w14:textId="77777777" w:rsidR="0062030F" w:rsidRDefault="0062030F">
      <w:pPr>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highlight w:val="white"/>
        </w:rPr>
      </w:pPr>
    </w:p>
    <w:p w14:paraId="00000027" w14:textId="3DA5D769" w:rsidR="00204C7E" w:rsidRDefault="00000000">
      <w:pPr>
        <w:pBdr>
          <w:top w:val="nil"/>
          <w:left w:val="nil"/>
          <w:bottom w:val="nil"/>
          <w:right w:val="nil"/>
          <w:between w:val="nil"/>
        </w:pBdr>
        <w:spacing w:after="0" w:line="276" w:lineRule="auto"/>
        <w:ind w:left="1" w:hanging="3"/>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ІV. Вимоги щодо сертифікації.</w:t>
      </w:r>
    </w:p>
    <w:p w14:paraId="00000028" w14:textId="77777777" w:rsidR="00204C7E"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Кожен вантаж з горохом українського походження має супроводжуватися оригіналом фітосанітарного сертифіката (встановленої форми), який оформлюється за результатами проведених фітосанітарних процедур та який засвідчує, що вантажі з горохом відповідають вимогам законодавства України та КНР (відсутність карантинних організмів, тощо).</w:t>
      </w:r>
    </w:p>
    <w:p w14:paraId="63567215" w14:textId="6F1B5C6A" w:rsidR="0002302A" w:rsidRPr="00071040" w:rsidRDefault="00F92693">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rPr>
      </w:pPr>
      <w:r w:rsidRPr="00071040">
        <w:rPr>
          <w:rFonts w:ascii="Times New Roman" w:eastAsia="Times New Roman" w:hAnsi="Times New Roman" w:cs="Times New Roman"/>
          <w:color w:val="000000"/>
          <w:sz w:val="28"/>
          <w:szCs w:val="28"/>
        </w:rPr>
        <w:t>З</w:t>
      </w:r>
      <w:r w:rsidR="0002302A" w:rsidRPr="00071040">
        <w:rPr>
          <w:rFonts w:ascii="Times New Roman" w:eastAsia="Times New Roman" w:hAnsi="Times New Roman" w:cs="Times New Roman"/>
          <w:color w:val="000000"/>
          <w:sz w:val="28"/>
          <w:szCs w:val="28"/>
        </w:rPr>
        <w:t xml:space="preserve">аява на проведення фітосанітарних процедур повинна містити </w:t>
      </w:r>
      <w:r w:rsidR="00CC6F01" w:rsidRPr="00071040">
        <w:rPr>
          <w:rFonts w:ascii="Times New Roman" w:eastAsia="Times New Roman" w:hAnsi="Times New Roman" w:cs="Times New Roman"/>
          <w:color w:val="000000"/>
          <w:sz w:val="28"/>
          <w:szCs w:val="28"/>
        </w:rPr>
        <w:t>інформацію про місце вирощування гороху на підприємстві</w:t>
      </w:r>
      <w:r w:rsidR="00E155AE" w:rsidRPr="00071040">
        <w:rPr>
          <w:rFonts w:ascii="Times New Roman" w:eastAsia="Times New Roman" w:hAnsi="Times New Roman" w:cs="Times New Roman"/>
          <w:color w:val="000000"/>
          <w:sz w:val="28"/>
          <w:szCs w:val="28"/>
        </w:rPr>
        <w:t xml:space="preserve">, </w:t>
      </w:r>
      <w:r w:rsidR="00CC6F01" w:rsidRPr="00071040">
        <w:rPr>
          <w:rFonts w:ascii="Times New Roman" w:eastAsia="Times New Roman" w:hAnsi="Times New Roman" w:cs="Times New Roman"/>
          <w:color w:val="000000"/>
          <w:sz w:val="28"/>
          <w:szCs w:val="28"/>
        </w:rPr>
        <w:t xml:space="preserve">що </w:t>
      </w:r>
      <w:r w:rsidR="00E155AE" w:rsidRPr="00071040">
        <w:rPr>
          <w:rFonts w:ascii="Times New Roman" w:eastAsia="Times New Roman" w:hAnsi="Times New Roman" w:cs="Times New Roman"/>
          <w:color w:val="000000"/>
          <w:sz w:val="28"/>
          <w:szCs w:val="28"/>
        </w:rPr>
        <w:t>включен</w:t>
      </w:r>
      <w:r w:rsidR="00CC6F01" w:rsidRPr="00071040">
        <w:rPr>
          <w:rFonts w:ascii="Times New Roman" w:eastAsia="Times New Roman" w:hAnsi="Times New Roman" w:cs="Times New Roman"/>
          <w:color w:val="000000"/>
          <w:sz w:val="28"/>
          <w:szCs w:val="28"/>
        </w:rPr>
        <w:t>е</w:t>
      </w:r>
      <w:r w:rsidR="00E155AE" w:rsidRPr="00071040">
        <w:rPr>
          <w:rFonts w:ascii="Times New Roman" w:eastAsia="Times New Roman" w:hAnsi="Times New Roman" w:cs="Times New Roman"/>
          <w:color w:val="000000"/>
          <w:sz w:val="28"/>
          <w:szCs w:val="28"/>
        </w:rPr>
        <w:t xml:space="preserve"> до Переліку підприємств, які вирощують горох для експорту до КНР.</w:t>
      </w:r>
    </w:p>
    <w:p w14:paraId="00000029" w14:textId="51E70A72" w:rsidR="00204C7E" w:rsidRPr="00071040" w:rsidRDefault="00F92693" w:rsidP="00071040">
      <w:pPr>
        <w:pBdr>
          <w:top w:val="nil"/>
          <w:left w:val="nil"/>
          <w:bottom w:val="nil"/>
          <w:right w:val="nil"/>
          <w:between w:val="nil"/>
        </w:pBdr>
        <w:spacing w:after="120" w:line="240" w:lineRule="auto"/>
        <w:ind w:leftChars="0" w:left="0" w:firstLineChars="0" w:firstLine="0"/>
        <w:jc w:val="both"/>
        <w:rPr>
          <w:rFonts w:ascii="Times New Roman" w:eastAsia="Times New Roman" w:hAnsi="Times New Roman" w:cs="Times New Roman"/>
          <w:color w:val="000000"/>
          <w:sz w:val="28"/>
          <w:szCs w:val="28"/>
        </w:rPr>
      </w:pPr>
      <w:r w:rsidRPr="00071040">
        <w:rPr>
          <w:rFonts w:ascii="Times New Roman" w:eastAsia="Times New Roman" w:hAnsi="Times New Roman" w:cs="Times New Roman"/>
          <w:color w:val="000000"/>
          <w:sz w:val="28"/>
          <w:szCs w:val="28"/>
        </w:rPr>
        <w:t xml:space="preserve">З метою забезпечення статті 7 Протоколу, у заяві на оформлення фітосанітарного сертифіката або фітосанітарного сертифіката на реекспорт заявник зазначає реєстраційний номер підприємств з переробки чи зберігання, </w:t>
      </w:r>
      <w:r w:rsidRPr="00071040">
        <w:rPr>
          <w:rFonts w:ascii="Times" w:eastAsia="Times" w:hAnsi="Times" w:cs="Times"/>
          <w:color w:val="000000"/>
          <w:sz w:val="28"/>
          <w:szCs w:val="28"/>
        </w:rPr>
        <w:t xml:space="preserve">присвоєний </w:t>
      </w:r>
      <w:proofErr w:type="spellStart"/>
      <w:r w:rsidRPr="00071040">
        <w:rPr>
          <w:rFonts w:ascii="Times" w:eastAsia="Times" w:hAnsi="Times" w:cs="Times"/>
          <w:color w:val="000000"/>
          <w:sz w:val="28"/>
          <w:szCs w:val="28"/>
        </w:rPr>
        <w:t>ГМА.</w:t>
      </w:r>
      <w:r w:rsidRPr="00071040">
        <w:rPr>
          <w:rFonts w:ascii="Times New Roman" w:eastAsia="Times New Roman" w:hAnsi="Times New Roman" w:cs="Times New Roman"/>
          <w:color w:val="000000"/>
          <w:sz w:val="28"/>
          <w:szCs w:val="28"/>
        </w:rPr>
        <w:t>Фітосанітарний</w:t>
      </w:r>
      <w:proofErr w:type="spellEnd"/>
      <w:r w:rsidRPr="00071040">
        <w:rPr>
          <w:rFonts w:ascii="Times New Roman" w:eastAsia="Times New Roman" w:hAnsi="Times New Roman" w:cs="Times New Roman"/>
          <w:color w:val="000000"/>
          <w:sz w:val="28"/>
          <w:szCs w:val="28"/>
        </w:rPr>
        <w:t xml:space="preserve"> </w:t>
      </w:r>
      <w:r w:rsidR="009B4D2C" w:rsidRPr="00071040">
        <w:rPr>
          <w:rFonts w:ascii="Times New Roman" w:eastAsia="Times New Roman" w:hAnsi="Times New Roman" w:cs="Times New Roman"/>
          <w:color w:val="000000"/>
          <w:sz w:val="28"/>
          <w:szCs w:val="28"/>
        </w:rPr>
        <w:t>сертифікат повинен містити наступну інформацію:</w:t>
      </w:r>
    </w:p>
    <w:p w14:paraId="0000002A" w14:textId="09631B91" w:rsidR="00204C7E" w:rsidRPr="00071040" w:rsidRDefault="00000000">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rPr>
      </w:pPr>
      <w:r w:rsidRPr="00071040">
        <w:rPr>
          <w:rFonts w:ascii="Times New Roman" w:eastAsia="Times New Roman" w:hAnsi="Times New Roman" w:cs="Times New Roman"/>
          <w:color w:val="000000"/>
          <w:sz w:val="28"/>
          <w:szCs w:val="28"/>
        </w:rPr>
        <w:t xml:space="preserve">в графі 11 «Додаткова декларація»: «Вантаж відповідає вимогам, викладеним у Протоколі фітосанітарних вимог для експорту гороху з України до Китаю між Державною службою України з питань безпечності харчових продуктів та захисту споживачів та Генеральною митною адміністрацією Китайської Народної Республіки, та є вільним від будь-яких карантинних шкідливих організмів, які контролюються в КНР», </w:t>
      </w:r>
      <w:r w:rsidR="0062030F" w:rsidRPr="00071040">
        <w:rPr>
          <w:rFonts w:ascii="Times New Roman" w:eastAsia="Times New Roman" w:hAnsi="Times New Roman" w:cs="Times New Roman"/>
          <w:b/>
          <w:bCs/>
          <w:color w:val="000000"/>
          <w:sz w:val="28"/>
          <w:szCs w:val="28"/>
        </w:rPr>
        <w:t>із зазначенням</w:t>
      </w:r>
      <w:r w:rsidRPr="00071040">
        <w:rPr>
          <w:rFonts w:ascii="Times New Roman" w:eastAsia="Times New Roman" w:hAnsi="Times New Roman" w:cs="Times New Roman"/>
          <w:b/>
          <w:bCs/>
          <w:color w:val="000000"/>
          <w:sz w:val="28"/>
          <w:szCs w:val="28"/>
        </w:rPr>
        <w:t xml:space="preserve"> найменування та реєстраційн</w:t>
      </w:r>
      <w:r w:rsidR="0062030F" w:rsidRPr="00071040">
        <w:rPr>
          <w:rFonts w:ascii="Times New Roman" w:eastAsia="Times New Roman" w:hAnsi="Times New Roman" w:cs="Times New Roman"/>
          <w:b/>
          <w:bCs/>
          <w:color w:val="000000"/>
          <w:sz w:val="28"/>
          <w:szCs w:val="28"/>
        </w:rPr>
        <w:t xml:space="preserve">ого </w:t>
      </w:r>
      <w:r w:rsidRPr="00071040">
        <w:rPr>
          <w:rFonts w:ascii="Times New Roman" w:eastAsia="Times New Roman" w:hAnsi="Times New Roman" w:cs="Times New Roman"/>
          <w:b/>
          <w:bCs/>
          <w:color w:val="000000"/>
          <w:sz w:val="28"/>
          <w:szCs w:val="28"/>
        </w:rPr>
        <w:t>номер</w:t>
      </w:r>
      <w:r w:rsidR="0062030F" w:rsidRPr="00071040">
        <w:rPr>
          <w:rFonts w:ascii="Times New Roman" w:eastAsia="Times New Roman" w:hAnsi="Times New Roman" w:cs="Times New Roman"/>
          <w:b/>
          <w:bCs/>
          <w:color w:val="000000"/>
          <w:sz w:val="28"/>
          <w:szCs w:val="28"/>
        </w:rPr>
        <w:t>а</w:t>
      </w:r>
      <w:r w:rsidRPr="00071040">
        <w:rPr>
          <w:rFonts w:ascii="Times New Roman" w:eastAsia="Times New Roman" w:hAnsi="Times New Roman" w:cs="Times New Roman"/>
          <w:b/>
          <w:bCs/>
          <w:color w:val="000000"/>
          <w:sz w:val="28"/>
          <w:szCs w:val="28"/>
        </w:rPr>
        <w:t xml:space="preserve"> підприємств</w:t>
      </w:r>
      <w:r w:rsidR="0062030F" w:rsidRPr="00071040">
        <w:rPr>
          <w:rFonts w:ascii="Times New Roman" w:eastAsia="Times New Roman" w:hAnsi="Times New Roman" w:cs="Times New Roman"/>
          <w:b/>
          <w:bCs/>
          <w:color w:val="000000"/>
          <w:sz w:val="28"/>
          <w:szCs w:val="28"/>
        </w:rPr>
        <w:t>а</w:t>
      </w:r>
      <w:r w:rsidRPr="00071040">
        <w:rPr>
          <w:rFonts w:ascii="Times New Roman" w:eastAsia="Times New Roman" w:hAnsi="Times New Roman" w:cs="Times New Roman"/>
          <w:b/>
          <w:bCs/>
          <w:color w:val="000000"/>
          <w:sz w:val="28"/>
          <w:szCs w:val="28"/>
        </w:rPr>
        <w:t xml:space="preserve"> з переробки чи зберігання, </w:t>
      </w:r>
      <w:r w:rsidR="0062030F" w:rsidRPr="00071040">
        <w:rPr>
          <w:rFonts w:ascii="Times New Roman" w:eastAsia="Times New Roman" w:hAnsi="Times New Roman" w:cs="Times New Roman"/>
          <w:b/>
          <w:bCs/>
          <w:color w:val="000000"/>
          <w:sz w:val="28"/>
          <w:szCs w:val="28"/>
        </w:rPr>
        <w:t xml:space="preserve">що </w:t>
      </w:r>
      <w:r w:rsidRPr="00071040">
        <w:rPr>
          <w:rFonts w:ascii="Times" w:eastAsia="Times" w:hAnsi="Times" w:cs="Times"/>
          <w:b/>
          <w:bCs/>
          <w:color w:val="000000"/>
          <w:sz w:val="28"/>
          <w:szCs w:val="28"/>
        </w:rPr>
        <w:t>присвоєний ГМА</w:t>
      </w:r>
      <w:r w:rsidRPr="00071040">
        <w:rPr>
          <w:rFonts w:ascii="Times New Roman" w:eastAsia="Times New Roman" w:hAnsi="Times New Roman" w:cs="Times New Roman"/>
          <w:color w:val="000000"/>
          <w:sz w:val="28"/>
          <w:szCs w:val="28"/>
        </w:rPr>
        <w:t>.</w:t>
      </w:r>
    </w:p>
    <w:p w14:paraId="0AB2D9E2" w14:textId="03482CAE" w:rsidR="009B4D2C" w:rsidRDefault="009B4D2C" w:rsidP="009B4D2C">
      <w:pPr>
        <w:pBdr>
          <w:top w:val="nil"/>
          <w:left w:val="nil"/>
          <w:bottom w:val="nil"/>
          <w:right w:val="nil"/>
          <w:between w:val="nil"/>
        </w:pBdr>
        <w:spacing w:after="120" w:line="240" w:lineRule="auto"/>
        <w:ind w:leftChars="0" w:left="0" w:firstLineChars="0" w:firstLine="0"/>
        <w:jc w:val="both"/>
        <w:rPr>
          <w:rFonts w:ascii="Times New Roman" w:eastAsia="Times New Roman" w:hAnsi="Times New Roman" w:cs="Times New Roman"/>
          <w:color w:val="000000"/>
          <w:sz w:val="28"/>
          <w:szCs w:val="28"/>
          <w:highlight w:val="white"/>
        </w:rPr>
      </w:pPr>
      <w:r w:rsidRPr="009B4D2C">
        <w:rPr>
          <w:rFonts w:ascii="Times New Roman" w:eastAsia="Times New Roman" w:hAnsi="Times New Roman" w:cs="Times New Roman"/>
          <w:color w:val="000000"/>
          <w:sz w:val="28"/>
          <w:szCs w:val="28"/>
          <w:highlight w:val="white"/>
        </w:rPr>
        <w:t>Власник несе відповідальність за достовірність поданої інформації.</w:t>
      </w:r>
    </w:p>
    <w:p w14:paraId="3B71963B" w14:textId="77777777" w:rsidR="009B4D2C" w:rsidRDefault="009B4D2C">
      <w:pPr>
        <w:pBdr>
          <w:top w:val="nil"/>
          <w:left w:val="nil"/>
          <w:bottom w:val="nil"/>
          <w:right w:val="nil"/>
          <w:between w:val="nil"/>
        </w:pBdr>
        <w:spacing w:after="120" w:line="240" w:lineRule="auto"/>
        <w:ind w:left="1" w:hanging="3"/>
        <w:jc w:val="both"/>
        <w:rPr>
          <w:rFonts w:ascii="Times New Roman" w:eastAsia="Times New Roman" w:hAnsi="Times New Roman" w:cs="Times New Roman"/>
          <w:color w:val="000000"/>
          <w:sz w:val="28"/>
          <w:szCs w:val="28"/>
          <w:highlight w:val="white"/>
        </w:rPr>
      </w:pPr>
    </w:p>
    <w:p w14:paraId="0000002B" w14:textId="77777777" w:rsidR="00204C7E" w:rsidRDefault="00000000">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V. Перелік документів для включення суб’єкта господарської діяльності до відповідного Переліку.</w:t>
      </w:r>
    </w:p>
    <w:p w14:paraId="0000002C" w14:textId="77777777" w:rsidR="00204C7E" w:rsidRDefault="00204C7E">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white"/>
        </w:rPr>
      </w:pPr>
    </w:p>
    <w:p w14:paraId="0000002D" w14:textId="77777777" w:rsidR="00204C7E" w:rsidRDefault="00000000">
      <w:pPr>
        <w:pBdr>
          <w:top w:val="nil"/>
          <w:left w:val="nil"/>
          <w:bottom w:val="nil"/>
          <w:right w:val="nil"/>
          <w:between w:val="nil"/>
        </w:pBdr>
        <w:spacing w:after="120" w:line="240" w:lineRule="auto"/>
        <w:ind w:left="1" w:hanging="3"/>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Для включення до </w:t>
      </w:r>
      <w:r>
        <w:rPr>
          <w:rFonts w:ascii="Times" w:eastAsia="Times" w:hAnsi="Times" w:cs="Times"/>
          <w:b/>
          <w:bCs/>
          <w:color w:val="000000"/>
          <w:sz w:val="28"/>
          <w:szCs w:val="28"/>
          <w:highlight w:val="white"/>
        </w:rPr>
        <w:t xml:space="preserve">Переліку підприємств, </w:t>
      </w:r>
      <w:r>
        <w:rPr>
          <w:rFonts w:ascii="Times" w:eastAsia="Times" w:hAnsi="Times" w:cs="Times"/>
          <w:b/>
          <w:bCs/>
          <w:color w:val="000000"/>
          <w:sz w:val="28"/>
          <w:szCs w:val="28"/>
          <w:highlight w:val="white"/>
          <w:u w:val="single"/>
        </w:rPr>
        <w:t>які вирощують горох для експорту до КНР</w:t>
      </w:r>
      <w:r>
        <w:rPr>
          <w:rFonts w:ascii="Times" w:eastAsia="Times" w:hAnsi="Times" w:cs="Times"/>
          <w:color w:val="000000"/>
          <w:sz w:val="28"/>
          <w:szCs w:val="28"/>
          <w:highlight w:val="white"/>
        </w:rPr>
        <w:t xml:space="preserve"> суб’єкт господарської діяльності</w:t>
      </w:r>
      <w:r>
        <w:rPr>
          <w:rFonts w:ascii="Times New Roman" w:eastAsia="Times New Roman" w:hAnsi="Times New Roman" w:cs="Times New Roman"/>
          <w:color w:val="000000"/>
          <w:sz w:val="28"/>
          <w:szCs w:val="28"/>
          <w:highlight w:val="white"/>
        </w:rPr>
        <w:t xml:space="preserve"> подає:</w:t>
      </w:r>
    </w:p>
    <w:p w14:paraId="0000002E" w14:textId="77777777" w:rsidR="00204C7E" w:rsidRDefault="00000000">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Заяву відповідно до зразка;</w:t>
      </w:r>
    </w:p>
    <w:p w14:paraId="0000002F" w14:textId="77777777" w:rsidR="00204C7E" w:rsidRDefault="00000000">
      <w:pPr>
        <w:numPr>
          <w:ilvl w:val="0"/>
          <w:numId w:val="1"/>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копії актів про результати нагляду посівів гороху, що підтверджують відсутність організмів,</w:t>
      </w:r>
      <w:r>
        <w:rPr>
          <w:rFonts w:ascii="Times" w:eastAsia="Times" w:hAnsi="Times" w:cs="Times"/>
          <w:color w:val="000000"/>
          <w:sz w:val="28"/>
          <w:szCs w:val="28"/>
          <w:highlight w:val="white"/>
        </w:rPr>
        <w:t xml:space="preserve"> які контролюються в КНР та перераховані в Додатку до Протоколу, а також відповідність вимогам Протоколу</w:t>
      </w:r>
      <w:r>
        <w:rPr>
          <w:rFonts w:ascii="Times New Roman" w:eastAsia="Times New Roman" w:hAnsi="Times New Roman" w:cs="Times New Roman"/>
          <w:color w:val="000000"/>
          <w:sz w:val="28"/>
          <w:szCs w:val="28"/>
          <w:highlight w:val="white"/>
        </w:rPr>
        <w:t>;</w:t>
      </w:r>
    </w:p>
    <w:p w14:paraId="00000030" w14:textId="77777777" w:rsidR="00204C7E" w:rsidRDefault="00000000">
      <w:pPr>
        <w:numPr>
          <w:ilvl w:val="0"/>
          <w:numId w:val="1"/>
        </w:numPr>
        <w:pBdr>
          <w:top w:val="nil"/>
          <w:left w:val="nil"/>
          <w:bottom w:val="nil"/>
          <w:right w:val="nil"/>
          <w:between w:val="nil"/>
        </w:pBdr>
        <w:tabs>
          <w:tab w:val="left" w:pos="426"/>
        </w:tabs>
        <w:spacing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копію документа щодо впровадження інтегрованої системи захисту посівів гороху (ІЗР).</w:t>
      </w:r>
    </w:p>
    <w:p w14:paraId="00000031" w14:textId="77777777" w:rsidR="00204C7E" w:rsidRDefault="00000000">
      <w:pPr>
        <w:pBdr>
          <w:top w:val="nil"/>
          <w:left w:val="nil"/>
          <w:bottom w:val="nil"/>
          <w:right w:val="nil"/>
          <w:between w:val="nil"/>
        </w:pBdr>
        <w:tabs>
          <w:tab w:val="left" w:pos="426"/>
        </w:tabs>
        <w:spacing w:after="120" w:line="240" w:lineRule="auto"/>
        <w:ind w:left="1" w:hanging="3"/>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Для включення до </w:t>
      </w:r>
      <w:r>
        <w:rPr>
          <w:rFonts w:ascii="Times" w:eastAsia="Times" w:hAnsi="Times" w:cs="Times"/>
          <w:b/>
          <w:bCs/>
          <w:color w:val="000000"/>
          <w:sz w:val="28"/>
          <w:szCs w:val="28"/>
          <w:highlight w:val="white"/>
        </w:rPr>
        <w:t xml:space="preserve">Переліку підприємств, </w:t>
      </w:r>
      <w:r>
        <w:rPr>
          <w:rFonts w:ascii="Times" w:eastAsia="Times" w:hAnsi="Times" w:cs="Times"/>
          <w:b/>
          <w:bCs/>
          <w:color w:val="000000"/>
          <w:sz w:val="28"/>
          <w:szCs w:val="28"/>
          <w:highlight w:val="white"/>
          <w:u w:val="single"/>
        </w:rPr>
        <w:t>які планують експорт гороху до КНР</w:t>
      </w:r>
      <w:r>
        <w:rPr>
          <w:rFonts w:ascii="Times" w:eastAsia="Times" w:hAnsi="Times" w:cs="Times"/>
          <w:color w:val="000000"/>
          <w:sz w:val="28"/>
          <w:szCs w:val="28"/>
          <w:highlight w:val="white"/>
        </w:rPr>
        <w:t xml:space="preserve"> суб’єкт господарської діяльності</w:t>
      </w:r>
      <w:r>
        <w:rPr>
          <w:rFonts w:ascii="Times New Roman" w:eastAsia="Times New Roman" w:hAnsi="Times New Roman" w:cs="Times New Roman"/>
          <w:color w:val="000000"/>
          <w:sz w:val="28"/>
          <w:szCs w:val="28"/>
          <w:highlight w:val="white"/>
        </w:rPr>
        <w:t xml:space="preserve"> подає:</w:t>
      </w:r>
    </w:p>
    <w:p w14:paraId="00000032" w14:textId="77777777" w:rsidR="00204C7E" w:rsidRDefault="00000000">
      <w:pPr>
        <w:numPr>
          <w:ilvl w:val="0"/>
          <w:numId w:val="4"/>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Заяву відповідно до зразка;</w:t>
      </w:r>
    </w:p>
    <w:p w14:paraId="00000033" w14:textId="77777777" w:rsidR="00204C7E" w:rsidRDefault="00000000">
      <w:pPr>
        <w:numPr>
          <w:ilvl w:val="0"/>
          <w:numId w:val="4"/>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копії актів про результати нагляду посівів гороху, що підтверджують відсутність організмів,</w:t>
      </w:r>
      <w:r>
        <w:rPr>
          <w:rFonts w:ascii="Times" w:eastAsia="Times" w:hAnsi="Times" w:cs="Times"/>
          <w:color w:val="000000"/>
          <w:sz w:val="28"/>
          <w:szCs w:val="28"/>
          <w:highlight w:val="white"/>
        </w:rPr>
        <w:t xml:space="preserve"> які контролюються в КНР та перераховані в Додатку до Протоколу, а також відповідність вимогам Протоколу</w:t>
      </w:r>
      <w:r>
        <w:rPr>
          <w:rFonts w:ascii="Times New Roman" w:eastAsia="Times New Roman" w:hAnsi="Times New Roman" w:cs="Times New Roman"/>
          <w:color w:val="000000"/>
          <w:sz w:val="28"/>
          <w:szCs w:val="28"/>
          <w:highlight w:val="white"/>
        </w:rPr>
        <w:t>;</w:t>
      </w:r>
    </w:p>
    <w:p w14:paraId="00000034" w14:textId="77777777" w:rsidR="00204C7E" w:rsidRDefault="00000000">
      <w:pPr>
        <w:numPr>
          <w:ilvl w:val="0"/>
          <w:numId w:val="4"/>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копію документа щодо впровадження інтегрованої системи захисту посівів гороху (ІЗР);</w:t>
      </w:r>
    </w:p>
    <w:p w14:paraId="00000035" w14:textId="77777777" w:rsidR="00204C7E" w:rsidRDefault="00000000">
      <w:pPr>
        <w:numPr>
          <w:ilvl w:val="0"/>
          <w:numId w:val="4"/>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копію договорів про наміри щодо закупівлі гороху (якщо особа не є власником місця вирощування гороху);</w:t>
      </w:r>
    </w:p>
    <w:p w14:paraId="00000036" w14:textId="77777777" w:rsidR="00204C7E" w:rsidRDefault="00000000">
      <w:pPr>
        <w:numPr>
          <w:ilvl w:val="0"/>
          <w:numId w:val="4"/>
        </w:numPr>
        <w:pBdr>
          <w:top w:val="nil"/>
          <w:left w:val="nil"/>
          <w:bottom w:val="nil"/>
          <w:right w:val="nil"/>
          <w:between w:val="nil"/>
        </w:pBdr>
        <w:tabs>
          <w:tab w:val="left" w:pos="426"/>
        </w:tabs>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копію договорів про наміри щодо зберігання гороху (за наявності).</w:t>
      </w:r>
    </w:p>
    <w:p w14:paraId="00000037" w14:textId="77777777" w:rsidR="00204C7E" w:rsidRDefault="00000000">
      <w:pPr>
        <w:pBdr>
          <w:top w:val="nil"/>
          <w:left w:val="nil"/>
          <w:bottom w:val="nil"/>
          <w:right w:val="nil"/>
          <w:between w:val="nil"/>
        </w:pBdr>
        <w:tabs>
          <w:tab w:val="left" w:pos="426"/>
        </w:tabs>
        <w:spacing w:after="120" w:line="240" w:lineRule="auto"/>
        <w:ind w:left="1" w:hanging="3"/>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Для включення до </w:t>
      </w:r>
      <w:r>
        <w:rPr>
          <w:rFonts w:ascii="Times" w:eastAsia="Times" w:hAnsi="Times" w:cs="Times"/>
          <w:b/>
          <w:bCs/>
          <w:color w:val="000000"/>
          <w:sz w:val="28"/>
          <w:szCs w:val="28"/>
          <w:highlight w:val="white"/>
          <w:u w:val="single"/>
        </w:rPr>
        <w:t>Переліку підприємств, які переробляють та зберігають горох</w:t>
      </w:r>
      <w:r>
        <w:rPr>
          <w:rFonts w:ascii="Times" w:eastAsia="Times" w:hAnsi="Times" w:cs="Times"/>
          <w:color w:val="000000"/>
          <w:sz w:val="28"/>
          <w:szCs w:val="28"/>
          <w:highlight w:val="white"/>
          <w:u w:val="single"/>
        </w:rPr>
        <w:t>,</w:t>
      </w:r>
      <w:r>
        <w:rPr>
          <w:color w:val="000000"/>
          <w:highlight w:val="white"/>
        </w:rPr>
        <w:t xml:space="preserve"> </w:t>
      </w:r>
      <w:r>
        <w:rPr>
          <w:rFonts w:ascii="Times" w:eastAsia="Times" w:hAnsi="Times" w:cs="Times"/>
          <w:color w:val="000000"/>
          <w:sz w:val="28"/>
          <w:szCs w:val="28"/>
          <w:highlight w:val="white"/>
        </w:rPr>
        <w:t xml:space="preserve">що експортується до КНР, </w:t>
      </w:r>
      <w:r>
        <w:rPr>
          <w:rFonts w:ascii="Times New Roman" w:eastAsia="Times New Roman" w:hAnsi="Times New Roman" w:cs="Times New Roman"/>
          <w:color w:val="000000"/>
          <w:sz w:val="28"/>
          <w:szCs w:val="28"/>
          <w:highlight w:val="white"/>
        </w:rPr>
        <w:t>особа подає:</w:t>
      </w:r>
    </w:p>
    <w:p w14:paraId="00000038" w14:textId="77777777" w:rsidR="00204C7E" w:rsidRDefault="00000000">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Заяву відповідно до зразка;</w:t>
      </w:r>
    </w:p>
    <w:p w14:paraId="00000039" w14:textId="77777777" w:rsidR="00204C7E" w:rsidRDefault="00000000">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копії актів про результати нагляду місць зберігання, що підтверджують відсутність організмів,</w:t>
      </w:r>
      <w:r>
        <w:rPr>
          <w:rFonts w:ascii="Times" w:eastAsia="Times" w:hAnsi="Times" w:cs="Times"/>
          <w:color w:val="000000"/>
          <w:sz w:val="28"/>
          <w:szCs w:val="28"/>
          <w:highlight w:val="white"/>
        </w:rPr>
        <w:t xml:space="preserve"> які контролюються в КНР та перераховані в Додатку до Протоколу, а також відповідність вимогам Протоколу;</w:t>
      </w:r>
    </w:p>
    <w:p w14:paraId="0000003A" w14:textId="77777777" w:rsidR="00204C7E" w:rsidRDefault="00000000">
      <w:pPr>
        <w:numPr>
          <w:ilvl w:val="0"/>
          <w:numId w:val="5"/>
        </w:numPr>
        <w:pBdr>
          <w:top w:val="nil"/>
          <w:left w:val="nil"/>
          <w:bottom w:val="nil"/>
          <w:right w:val="nil"/>
          <w:between w:val="nil"/>
        </w:pBdr>
        <w:tabs>
          <w:tab w:val="left" w:pos="426"/>
        </w:tabs>
        <w:spacing w:after="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копію довідки щодо реєстрації потужності як оператора ринку із зазначенням особистого номеру та виду діяльності;</w:t>
      </w:r>
    </w:p>
    <w:p w14:paraId="0000003B" w14:textId="77777777" w:rsidR="00204C7E" w:rsidRDefault="00000000">
      <w:pPr>
        <w:numPr>
          <w:ilvl w:val="0"/>
          <w:numId w:val="5"/>
        </w:numPr>
        <w:pBdr>
          <w:top w:val="nil"/>
          <w:left w:val="nil"/>
          <w:bottom w:val="nil"/>
          <w:right w:val="nil"/>
          <w:between w:val="nil"/>
        </w:pBdr>
        <w:tabs>
          <w:tab w:val="left" w:pos="426"/>
        </w:tabs>
        <w:spacing w:after="12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копію </w:t>
      </w:r>
      <w:proofErr w:type="spellStart"/>
      <w:r>
        <w:rPr>
          <w:rFonts w:ascii="Times New Roman" w:eastAsia="Times New Roman" w:hAnsi="Times New Roman" w:cs="Times New Roman"/>
          <w:color w:val="000000"/>
          <w:sz w:val="28"/>
          <w:szCs w:val="28"/>
          <w:highlight w:val="white"/>
        </w:rPr>
        <w:t>акта</w:t>
      </w:r>
      <w:proofErr w:type="spellEnd"/>
      <w:r>
        <w:rPr>
          <w:rFonts w:ascii="Times New Roman" w:eastAsia="Times New Roman" w:hAnsi="Times New Roman" w:cs="Times New Roman"/>
          <w:color w:val="000000"/>
          <w:sz w:val="28"/>
          <w:szCs w:val="28"/>
          <w:highlight w:val="white"/>
        </w:rPr>
        <w:t xml:space="preserve"> позапланового заходу державного нагляду (контролю) </w:t>
      </w:r>
      <w:r>
        <w:rPr>
          <w:rFonts w:ascii="Times New Roman" w:eastAsia="Times New Roman" w:hAnsi="Times New Roman" w:cs="Times New Roman"/>
          <w:sz w:val="28"/>
          <w:szCs w:val="28"/>
          <w:highlight w:val="white"/>
        </w:rPr>
        <w:t xml:space="preserve">стосовно дотримання оператором ринку вимог національного законодавства та вимог КНР про харчові продукти </w:t>
      </w:r>
      <w:r>
        <w:rPr>
          <w:rFonts w:ascii="Times New Roman" w:eastAsia="Times New Roman" w:hAnsi="Times New Roman" w:cs="Times New Roman"/>
          <w:color w:val="000000"/>
          <w:sz w:val="28"/>
          <w:szCs w:val="28"/>
          <w:highlight w:val="white"/>
        </w:rPr>
        <w:t>в поточному році.</w:t>
      </w:r>
    </w:p>
    <w:p w14:paraId="0000003C" w14:textId="77777777" w:rsidR="00204C7E" w:rsidRDefault="00000000">
      <w:pPr>
        <w:pBdr>
          <w:top w:val="nil"/>
          <w:left w:val="nil"/>
          <w:bottom w:val="nil"/>
          <w:right w:val="nil"/>
          <w:between w:val="nil"/>
        </w:pBdr>
        <w:spacing w:after="0"/>
        <w:ind w:left="1" w:hanging="3"/>
        <w:jc w:val="center"/>
        <w:rPr>
          <w:rFonts w:ascii="Times New Roman" w:eastAsia="Times New Roman" w:hAnsi="Times New Roman" w:cs="Times New Roman"/>
          <w:color w:val="000000"/>
          <w:sz w:val="32"/>
          <w:szCs w:val="32"/>
          <w:highlight w:val="white"/>
        </w:rPr>
      </w:pPr>
      <w:r>
        <w:rPr>
          <w:rFonts w:ascii="Times New Roman" w:eastAsia="Times New Roman" w:hAnsi="Times New Roman" w:cs="Times New Roman"/>
          <w:i/>
          <w:iCs/>
          <w:color w:val="222222"/>
          <w:sz w:val="32"/>
          <w:szCs w:val="32"/>
          <w:highlight w:val="white"/>
        </w:rPr>
        <w:t xml:space="preserve">Скановану заяву та відповідні додатки до неї надавати до Держпродспоживслужби на електронну адресу: </w:t>
      </w:r>
      <w:hyperlink r:id="rId10">
        <w:r w:rsidR="00204C7E">
          <w:rPr>
            <w:rFonts w:ascii="Times New Roman" w:eastAsia="Times New Roman" w:hAnsi="Times New Roman" w:cs="Times New Roman"/>
            <w:i/>
            <w:iCs/>
            <w:color w:val="467886"/>
            <w:sz w:val="32"/>
            <w:szCs w:val="32"/>
            <w:highlight w:val="white"/>
            <w:u w:val="single"/>
          </w:rPr>
          <w:t>info@dpss.gov.ua</w:t>
        </w:r>
      </w:hyperlink>
    </w:p>
    <w:sectPr w:rsidR="00204C7E">
      <w:headerReference w:type="default" r:id="rId11"/>
      <w:pgSz w:w="11906" w:h="16838"/>
      <w:pgMar w:top="850" w:right="566" w:bottom="399"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8A502" w14:textId="77777777" w:rsidR="00581F02" w:rsidRDefault="00581F02">
      <w:pPr>
        <w:spacing w:after="0" w:line="240" w:lineRule="auto"/>
        <w:ind w:left="0" w:hanging="2"/>
      </w:pPr>
      <w:r>
        <w:separator/>
      </w:r>
    </w:p>
  </w:endnote>
  <w:endnote w:type="continuationSeparator" w:id="0">
    <w:p w14:paraId="4BC2FF42" w14:textId="77777777" w:rsidR="00581F02" w:rsidRDefault="00581F0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55ACF597-DEAC-4985-A103-BC16624C62CE}"/>
  </w:font>
  <w:font w:name="Times">
    <w:panose1 w:val="02020603050405020304"/>
    <w:charset w:val="CC"/>
    <w:family w:val="roman"/>
    <w:pitch w:val="variable"/>
    <w:sig w:usb0="E0002EFF" w:usb1="C000785B" w:usb2="00000009" w:usb3="00000000" w:csb0="000001FF" w:csb1="00000000"/>
    <w:embedRegular r:id="rId2" w:fontKey="{80861685-DE4D-42CA-B80D-BC49E967C030}"/>
    <w:embedBold r:id="rId3" w:fontKey="{2CC3B890-6AA6-4BDE-96DA-1146BE6FF6A5}"/>
  </w:font>
  <w:font w:name="Aptos">
    <w:charset w:val="00"/>
    <w:family w:val="swiss"/>
    <w:pitch w:val="variable"/>
    <w:sig w:usb0="20000287" w:usb1="00000003" w:usb2="00000000" w:usb3="00000000" w:csb0="0000019F" w:csb1="00000000"/>
    <w:embedRegular r:id="rId4" w:fontKey="{D0095C97-4D32-4578-80E7-EC4961F97F1D}"/>
    <w:embedBold r:id="rId5" w:fontKey="{B8FA3DFD-1DB2-4B26-BE9B-2C6493C7D111}"/>
    <w:embedItalic r:id="rId6" w:fontKey="{00CC96ED-2FFE-48B5-84E5-627A62CB438B}"/>
  </w:font>
  <w:font w:name="Aptos Display">
    <w:charset w:val="00"/>
    <w:family w:val="swiss"/>
    <w:pitch w:val="variable"/>
    <w:sig w:usb0="20000287" w:usb1="00000003" w:usb2="00000000" w:usb3="00000000" w:csb0="0000019F" w:csb1="00000000"/>
    <w:embedRegular r:id="rId7" w:fontKey="{45D492D9-1914-44F0-B4D8-A4C96E6FF5FF}"/>
  </w:font>
  <w:font w:name="Georgia">
    <w:panose1 w:val="02040502050405020303"/>
    <w:charset w:val="CC"/>
    <w:family w:val="roman"/>
    <w:pitch w:val="variable"/>
    <w:sig w:usb0="00000287" w:usb1="00000000" w:usb2="00000000" w:usb3="00000000" w:csb0="0000009F" w:csb1="00000000"/>
    <w:embedItalic r:id="rId8" w:fontKey="{9449BC79-40AE-48A0-8D22-4D3E9EED6D3F}"/>
  </w:font>
  <w:font w:name="Calibri">
    <w:panose1 w:val="020F0502020204030204"/>
    <w:charset w:val="CC"/>
    <w:family w:val="swiss"/>
    <w:pitch w:val="variable"/>
    <w:sig w:usb0="E4002EFF" w:usb1="C200247B" w:usb2="00000009" w:usb3="00000000" w:csb0="000001FF" w:csb1="00000000"/>
    <w:embedRegular r:id="rId9" w:fontKey="{9D315AD6-AA2F-49C4-A7BD-B41E3DA1697A}"/>
  </w:font>
  <w:font w:name="Cambria">
    <w:panose1 w:val="02040503050406030204"/>
    <w:charset w:val="CC"/>
    <w:family w:val="roman"/>
    <w:pitch w:val="variable"/>
    <w:sig w:usb0="E00006FF" w:usb1="420024FF" w:usb2="02000000" w:usb3="00000000" w:csb0="0000019F" w:csb1="00000000"/>
    <w:embedRegular r:id="rId10" w:fontKey="{87FD60EC-F7E1-402B-B6D5-DFAD4B18AE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B391E" w14:textId="77777777" w:rsidR="00581F02" w:rsidRDefault="00581F02">
      <w:pPr>
        <w:spacing w:after="0" w:line="240" w:lineRule="auto"/>
        <w:ind w:left="0" w:hanging="2"/>
      </w:pPr>
      <w:r>
        <w:separator/>
      </w:r>
    </w:p>
  </w:footnote>
  <w:footnote w:type="continuationSeparator" w:id="0">
    <w:p w14:paraId="0F46B3D7" w14:textId="77777777" w:rsidR="00581F02" w:rsidRDefault="00581F0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026B8F16" w:rsidR="00204C7E" w:rsidRDefault="00000000">
    <w:pPr>
      <w:pBdr>
        <w:top w:val="nil"/>
        <w:left w:val="nil"/>
        <w:bottom w:val="nil"/>
        <w:right w:val="nil"/>
        <w:between w:val="nil"/>
      </w:pBdr>
      <w:spacing w:after="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02302A">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03D9B"/>
    <w:multiLevelType w:val="multilevel"/>
    <w:tmpl w:val="4150FA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0683736"/>
    <w:multiLevelType w:val="multilevel"/>
    <w:tmpl w:val="C6CE4D4C"/>
    <w:lvl w:ilvl="0">
      <w:start w:val="1"/>
      <w:numFmt w:val="decimal"/>
      <w:lvlText w:val="%1."/>
      <w:lvlJc w:val="left"/>
      <w:pPr>
        <w:ind w:left="3479" w:hanging="360"/>
      </w:pPr>
      <w:rPr>
        <w:rFonts w:ascii="Times New Roman" w:eastAsia="Times New Roman" w:hAnsi="Times New Roman" w:cs="Times New Roman"/>
        <w:vertAlign w:val="baseline"/>
      </w:rPr>
    </w:lvl>
    <w:lvl w:ilvl="1">
      <w:start w:val="1"/>
      <w:numFmt w:val="bullet"/>
      <w:lvlText w:val="o"/>
      <w:lvlJc w:val="left"/>
      <w:pPr>
        <w:ind w:left="4133" w:hanging="360"/>
      </w:pPr>
      <w:rPr>
        <w:rFonts w:ascii="Courier New" w:eastAsia="Courier New" w:hAnsi="Courier New" w:cs="Courier New"/>
        <w:vertAlign w:val="baseline"/>
      </w:rPr>
    </w:lvl>
    <w:lvl w:ilvl="2">
      <w:start w:val="1"/>
      <w:numFmt w:val="bullet"/>
      <w:lvlText w:val="▪"/>
      <w:lvlJc w:val="left"/>
      <w:pPr>
        <w:ind w:left="4853" w:hanging="360"/>
      </w:pPr>
      <w:rPr>
        <w:rFonts w:ascii="Noto Sans Symbols" w:eastAsia="Noto Sans Symbols" w:hAnsi="Noto Sans Symbols" w:cs="Noto Sans Symbols"/>
        <w:vertAlign w:val="baseline"/>
      </w:rPr>
    </w:lvl>
    <w:lvl w:ilvl="3">
      <w:start w:val="1"/>
      <w:numFmt w:val="bullet"/>
      <w:lvlText w:val="●"/>
      <w:lvlJc w:val="left"/>
      <w:pPr>
        <w:ind w:left="5573" w:hanging="360"/>
      </w:pPr>
      <w:rPr>
        <w:rFonts w:ascii="Noto Sans Symbols" w:eastAsia="Noto Sans Symbols" w:hAnsi="Noto Sans Symbols" w:cs="Noto Sans Symbols"/>
        <w:vertAlign w:val="baseline"/>
      </w:rPr>
    </w:lvl>
    <w:lvl w:ilvl="4">
      <w:start w:val="1"/>
      <w:numFmt w:val="bullet"/>
      <w:lvlText w:val="o"/>
      <w:lvlJc w:val="left"/>
      <w:pPr>
        <w:ind w:left="6293" w:hanging="360"/>
      </w:pPr>
      <w:rPr>
        <w:rFonts w:ascii="Courier New" w:eastAsia="Courier New" w:hAnsi="Courier New" w:cs="Courier New"/>
        <w:vertAlign w:val="baseline"/>
      </w:rPr>
    </w:lvl>
    <w:lvl w:ilvl="5">
      <w:start w:val="1"/>
      <w:numFmt w:val="bullet"/>
      <w:lvlText w:val="▪"/>
      <w:lvlJc w:val="left"/>
      <w:pPr>
        <w:ind w:left="7013" w:hanging="360"/>
      </w:pPr>
      <w:rPr>
        <w:rFonts w:ascii="Noto Sans Symbols" w:eastAsia="Noto Sans Symbols" w:hAnsi="Noto Sans Symbols" w:cs="Noto Sans Symbols"/>
        <w:vertAlign w:val="baseline"/>
      </w:rPr>
    </w:lvl>
    <w:lvl w:ilvl="6">
      <w:start w:val="1"/>
      <w:numFmt w:val="bullet"/>
      <w:lvlText w:val="●"/>
      <w:lvlJc w:val="left"/>
      <w:pPr>
        <w:ind w:left="7733" w:hanging="360"/>
      </w:pPr>
      <w:rPr>
        <w:rFonts w:ascii="Noto Sans Symbols" w:eastAsia="Noto Sans Symbols" w:hAnsi="Noto Sans Symbols" w:cs="Noto Sans Symbols"/>
        <w:vertAlign w:val="baseline"/>
      </w:rPr>
    </w:lvl>
    <w:lvl w:ilvl="7">
      <w:start w:val="1"/>
      <w:numFmt w:val="bullet"/>
      <w:lvlText w:val="o"/>
      <w:lvlJc w:val="left"/>
      <w:pPr>
        <w:ind w:left="8453" w:hanging="360"/>
      </w:pPr>
      <w:rPr>
        <w:rFonts w:ascii="Courier New" w:eastAsia="Courier New" w:hAnsi="Courier New" w:cs="Courier New"/>
        <w:vertAlign w:val="baseline"/>
      </w:rPr>
    </w:lvl>
    <w:lvl w:ilvl="8">
      <w:start w:val="1"/>
      <w:numFmt w:val="bullet"/>
      <w:lvlText w:val="▪"/>
      <w:lvlJc w:val="left"/>
      <w:pPr>
        <w:ind w:left="9173" w:hanging="360"/>
      </w:pPr>
      <w:rPr>
        <w:rFonts w:ascii="Noto Sans Symbols" w:eastAsia="Noto Sans Symbols" w:hAnsi="Noto Sans Symbols" w:cs="Noto Sans Symbols"/>
        <w:vertAlign w:val="baseline"/>
      </w:rPr>
    </w:lvl>
  </w:abstractNum>
  <w:abstractNum w:abstractNumId="2" w15:restartNumberingAfterBreak="0">
    <w:nsid w:val="413C4DE6"/>
    <w:multiLevelType w:val="multilevel"/>
    <w:tmpl w:val="89B8D77E"/>
    <w:lvl w:ilvl="0">
      <w:start w:val="1"/>
      <w:numFmt w:val="decimal"/>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3" w15:restartNumberingAfterBreak="0">
    <w:nsid w:val="50A34FA3"/>
    <w:multiLevelType w:val="multilevel"/>
    <w:tmpl w:val="E7F2CAE2"/>
    <w:lvl w:ilvl="0">
      <w:start w:val="1"/>
      <w:numFmt w:val="decimal"/>
      <w:lvlText w:val="%1."/>
      <w:lvlJc w:val="left"/>
      <w:pPr>
        <w:ind w:left="720" w:hanging="360"/>
      </w:pPr>
      <w:rPr>
        <w:rFonts w:ascii="Times" w:eastAsia="Times" w:hAnsi="Times" w:cs="Time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69215C3F"/>
    <w:multiLevelType w:val="multilevel"/>
    <w:tmpl w:val="68B0859A"/>
    <w:lvl w:ilvl="0">
      <w:start w:val="1"/>
      <w:numFmt w:val="decimal"/>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num w:numId="1" w16cid:durableId="2102290795">
    <w:abstractNumId w:val="1"/>
  </w:num>
  <w:num w:numId="2" w16cid:durableId="1550217003">
    <w:abstractNumId w:val="0"/>
  </w:num>
  <w:num w:numId="3" w16cid:durableId="498544022">
    <w:abstractNumId w:val="3"/>
  </w:num>
  <w:num w:numId="4" w16cid:durableId="1904829275">
    <w:abstractNumId w:val="2"/>
  </w:num>
  <w:num w:numId="5" w16cid:durableId="11865978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C7E"/>
    <w:rsid w:val="0002302A"/>
    <w:rsid w:val="00071040"/>
    <w:rsid w:val="001356AC"/>
    <w:rsid w:val="00204C7E"/>
    <w:rsid w:val="002B49E0"/>
    <w:rsid w:val="002B7FF7"/>
    <w:rsid w:val="00581F02"/>
    <w:rsid w:val="0062030F"/>
    <w:rsid w:val="0065401D"/>
    <w:rsid w:val="006C51C0"/>
    <w:rsid w:val="008B4668"/>
    <w:rsid w:val="009B4D2C"/>
    <w:rsid w:val="00A70F4B"/>
    <w:rsid w:val="00B115B4"/>
    <w:rsid w:val="00CC6F01"/>
    <w:rsid w:val="00E155AE"/>
    <w:rsid w:val="00E91BE9"/>
    <w:rsid w:val="00F9269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55776"/>
  <w15:docId w15:val="{4C37BFF2-AC28-4FA1-9D4B-F9D4AD8AF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160" w:line="278" w:lineRule="auto"/>
      <w:ind w:leftChars="-1" w:left="-1" w:hangingChars="1" w:hanging="1"/>
      <w:textDirection w:val="btLr"/>
      <w:textAlignment w:val="top"/>
      <w:outlineLvl w:val="0"/>
    </w:pPr>
    <w:rPr>
      <w:kern w:val="2"/>
      <w:position w:val="-1"/>
      <w:sz w:val="24"/>
      <w:szCs w:val="24"/>
      <w:lang w:val="uk-UA" w:eastAsia="en-US"/>
    </w:rPr>
  </w:style>
  <w:style w:type="paragraph" w:styleId="1">
    <w:name w:val="heading 1"/>
    <w:basedOn w:val="a"/>
    <w:next w:val="a"/>
    <w:uiPriority w:val="9"/>
    <w:qFormat/>
    <w:pPr>
      <w:keepNext/>
      <w:keepLines/>
      <w:spacing w:before="360" w:after="80"/>
    </w:pPr>
    <w:rPr>
      <w:rFonts w:ascii="Aptos Display" w:eastAsia="Times New Roman" w:hAnsi="Aptos Display" w:cs="Times New Roman"/>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Aptos Display" w:eastAsia="Times New Roman" w:hAnsi="Aptos Display" w:cs="Times New Roman"/>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basedOn w:val="a"/>
    <w:next w:val="a"/>
    <w:qFormat/>
    <w:pPr>
      <w:keepNext/>
      <w:keepLines/>
      <w:spacing w:before="40" w:after="0"/>
      <w:outlineLvl w:val="6"/>
    </w:pPr>
    <w:rPr>
      <w:color w:val="595959"/>
    </w:rPr>
  </w:style>
  <w:style w:type="paragraph" w:styleId="8">
    <w:name w:val="heading 8"/>
    <w:basedOn w:val="a"/>
    <w:next w:val="a"/>
    <w:qFormat/>
    <w:pPr>
      <w:keepNext/>
      <w:keepLines/>
      <w:spacing w:after="0"/>
      <w:outlineLvl w:val="7"/>
    </w:pPr>
    <w:rPr>
      <w:i/>
      <w:iCs/>
      <w:color w:val="272727"/>
    </w:rPr>
  </w:style>
  <w:style w:type="paragraph" w:styleId="9">
    <w:name w:val="heading 9"/>
    <w:basedOn w:val="a"/>
    <w:next w:val="a"/>
    <w:qFormat/>
    <w:pPr>
      <w:keepNext/>
      <w:keepLines/>
      <w:spacing w:after="0"/>
      <w:outlineLvl w:val="8"/>
    </w:pPr>
    <w:rPr>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contextualSpacing/>
    </w:pPr>
    <w:rPr>
      <w:rFonts w:ascii="Aptos Display" w:eastAsia="Times New Roman" w:hAnsi="Aptos Display" w:cs="Times New Roman"/>
      <w:spacing w:val="-10"/>
      <w:kern w:val="28"/>
      <w:sz w:val="56"/>
      <w:szCs w:val="56"/>
    </w:rPr>
  </w:style>
  <w:style w:type="character" w:customStyle="1" w:styleId="10">
    <w:name w:val="Заголовок 1 Знак"/>
    <w:rPr>
      <w:rFonts w:ascii="Aptos Display" w:eastAsia="Times New Roman" w:hAnsi="Aptos Display" w:cs="Times New Roman"/>
      <w:color w:val="0F4761"/>
      <w:w w:val="100"/>
      <w:position w:val="-1"/>
      <w:sz w:val="40"/>
      <w:szCs w:val="40"/>
      <w:effect w:val="none"/>
      <w:vertAlign w:val="baseline"/>
      <w:cs w:val="0"/>
      <w:em w:val="none"/>
    </w:rPr>
  </w:style>
  <w:style w:type="character" w:customStyle="1" w:styleId="20">
    <w:name w:val="Заголовок 2 Знак"/>
    <w:rPr>
      <w:rFonts w:ascii="Aptos Display" w:eastAsia="Times New Roman" w:hAnsi="Aptos Display" w:cs="Times New Roman"/>
      <w:color w:val="0F4761"/>
      <w:w w:val="100"/>
      <w:position w:val="-1"/>
      <w:sz w:val="32"/>
      <w:szCs w:val="32"/>
      <w:effect w:val="none"/>
      <w:vertAlign w:val="baseline"/>
      <w:cs w:val="0"/>
      <w:em w:val="none"/>
    </w:rPr>
  </w:style>
  <w:style w:type="character" w:customStyle="1" w:styleId="30">
    <w:name w:val="Заголовок 3 Знак"/>
    <w:rPr>
      <w:color w:val="0F4761"/>
      <w:w w:val="100"/>
      <w:position w:val="-1"/>
      <w:sz w:val="28"/>
      <w:szCs w:val="28"/>
      <w:effect w:val="none"/>
      <w:vertAlign w:val="baseline"/>
      <w:cs w:val="0"/>
      <w:em w:val="none"/>
    </w:rPr>
  </w:style>
  <w:style w:type="character" w:customStyle="1" w:styleId="40">
    <w:name w:val="Заголовок 4 Знак"/>
    <w:rPr>
      <w:i/>
      <w:iCs/>
      <w:color w:val="0F4761"/>
      <w:w w:val="100"/>
      <w:position w:val="-1"/>
      <w:effect w:val="none"/>
      <w:vertAlign w:val="baseline"/>
      <w:cs w:val="0"/>
      <w:em w:val="none"/>
    </w:rPr>
  </w:style>
  <w:style w:type="character" w:customStyle="1" w:styleId="50">
    <w:name w:val="Заголовок 5 Знак"/>
    <w:rPr>
      <w:color w:val="0F4761"/>
      <w:w w:val="100"/>
      <w:position w:val="-1"/>
      <w:effect w:val="none"/>
      <w:vertAlign w:val="baseline"/>
      <w:cs w:val="0"/>
      <w:em w:val="none"/>
    </w:rPr>
  </w:style>
  <w:style w:type="character" w:customStyle="1" w:styleId="60">
    <w:name w:val="Заголовок 6 Знак"/>
    <w:rPr>
      <w:i/>
      <w:iCs/>
      <w:color w:val="595959"/>
      <w:w w:val="100"/>
      <w:position w:val="-1"/>
      <w:effect w:val="none"/>
      <w:vertAlign w:val="baseline"/>
      <w:cs w:val="0"/>
      <w:em w:val="none"/>
    </w:rPr>
  </w:style>
  <w:style w:type="character" w:customStyle="1" w:styleId="70">
    <w:name w:val="Заголовок 7 Знак"/>
    <w:rPr>
      <w:color w:val="595959"/>
      <w:w w:val="100"/>
      <w:position w:val="-1"/>
      <w:effect w:val="none"/>
      <w:vertAlign w:val="baseline"/>
      <w:cs w:val="0"/>
      <w:em w:val="none"/>
    </w:rPr>
  </w:style>
  <w:style w:type="character" w:customStyle="1" w:styleId="80">
    <w:name w:val="Заголовок 8 Знак"/>
    <w:rPr>
      <w:i/>
      <w:iCs/>
      <w:color w:val="272727"/>
      <w:w w:val="100"/>
      <w:position w:val="-1"/>
      <w:effect w:val="none"/>
      <w:vertAlign w:val="baseline"/>
      <w:cs w:val="0"/>
      <w:em w:val="none"/>
    </w:rPr>
  </w:style>
  <w:style w:type="character" w:customStyle="1" w:styleId="90">
    <w:name w:val="Заголовок 9 Знак"/>
    <w:rPr>
      <w:color w:val="272727"/>
      <w:w w:val="100"/>
      <w:position w:val="-1"/>
      <w:effect w:val="none"/>
      <w:vertAlign w:val="baseline"/>
      <w:cs w:val="0"/>
      <w:em w:val="none"/>
    </w:rPr>
  </w:style>
  <w:style w:type="character" w:customStyle="1" w:styleId="a4">
    <w:name w:val="Назва Знак"/>
    <w:rPr>
      <w:rFonts w:ascii="Aptos Display" w:eastAsia="Times New Roman" w:hAnsi="Aptos Display" w:cs="Times New Roman"/>
      <w:spacing w:val="-10"/>
      <w:w w:val="100"/>
      <w:kern w:val="28"/>
      <w:position w:val="-1"/>
      <w:sz w:val="56"/>
      <w:szCs w:val="56"/>
      <w:effect w:val="none"/>
      <w:vertAlign w:val="baseline"/>
      <w:cs w:val="0"/>
      <w:em w:val="none"/>
    </w:rPr>
  </w:style>
  <w:style w:type="paragraph" w:styleId="a5">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customStyle="1" w:styleId="a6">
    <w:name w:val="Підзаголовок Знак"/>
    <w:rPr>
      <w:color w:val="595959"/>
      <w:spacing w:val="15"/>
      <w:w w:val="100"/>
      <w:position w:val="-1"/>
      <w:sz w:val="28"/>
      <w:szCs w:val="28"/>
      <w:effect w:val="none"/>
      <w:vertAlign w:val="baseline"/>
      <w:cs w:val="0"/>
      <w:em w:val="none"/>
    </w:rPr>
  </w:style>
  <w:style w:type="paragraph" w:styleId="a7">
    <w:name w:val="Quote"/>
    <w:basedOn w:val="a"/>
    <w:next w:val="a"/>
    <w:pPr>
      <w:spacing w:before="160"/>
      <w:jc w:val="center"/>
    </w:pPr>
    <w:rPr>
      <w:i/>
      <w:iCs/>
      <w:color w:val="404040"/>
    </w:rPr>
  </w:style>
  <w:style w:type="character" w:customStyle="1" w:styleId="a8">
    <w:name w:val="Цитата Знак"/>
    <w:rPr>
      <w:i/>
      <w:iCs/>
      <w:color w:val="404040"/>
      <w:w w:val="100"/>
      <w:position w:val="-1"/>
      <w:effect w:val="none"/>
      <w:vertAlign w:val="baseline"/>
      <w:cs w:val="0"/>
      <w:em w:val="none"/>
    </w:rPr>
  </w:style>
  <w:style w:type="paragraph" w:styleId="a9">
    <w:name w:val="List Paragraph"/>
    <w:basedOn w:val="a"/>
    <w:pPr>
      <w:ind w:left="720"/>
      <w:contextualSpacing/>
    </w:pPr>
  </w:style>
  <w:style w:type="character" w:styleId="aa">
    <w:name w:val="Intense Emphasis"/>
    <w:rPr>
      <w:i/>
      <w:iCs/>
      <w:color w:val="0F4761"/>
      <w:w w:val="100"/>
      <w:position w:val="-1"/>
      <w:effect w:val="none"/>
      <w:vertAlign w:val="baseline"/>
      <w:cs w:val="0"/>
      <w:em w:val="none"/>
    </w:rPr>
  </w:style>
  <w:style w:type="paragraph" w:styleId="ab">
    <w:name w:val="Intense Quote"/>
    <w:basedOn w:val="a"/>
    <w:next w:val="a"/>
    <w:pPr>
      <w:pBdr>
        <w:top w:val="single" w:sz="4" w:space="10" w:color="0F4761"/>
        <w:bottom w:val="single" w:sz="4" w:space="10" w:color="0F4761"/>
      </w:pBdr>
      <w:spacing w:before="360" w:after="360"/>
      <w:ind w:left="864" w:right="864"/>
      <w:jc w:val="center"/>
    </w:pPr>
    <w:rPr>
      <w:i/>
      <w:iCs/>
      <w:color w:val="0F4761"/>
    </w:rPr>
  </w:style>
  <w:style w:type="character" w:customStyle="1" w:styleId="ac">
    <w:name w:val="Насичена цитата Знак"/>
    <w:rPr>
      <w:i/>
      <w:iCs/>
      <w:color w:val="0F4761"/>
      <w:w w:val="100"/>
      <w:position w:val="-1"/>
      <w:effect w:val="none"/>
      <w:vertAlign w:val="baseline"/>
      <w:cs w:val="0"/>
      <w:em w:val="none"/>
    </w:rPr>
  </w:style>
  <w:style w:type="character" w:styleId="ad">
    <w:name w:val="Intense Reference"/>
    <w:rPr>
      <w:b/>
      <w:bCs/>
      <w:smallCaps/>
      <w:color w:val="0F4761"/>
      <w:spacing w:val="5"/>
      <w:w w:val="100"/>
      <w:position w:val="-1"/>
      <w:effect w:val="none"/>
      <w:vertAlign w:val="baseline"/>
      <w:cs w:val="0"/>
      <w:em w:val="none"/>
    </w:rPr>
  </w:style>
  <w:style w:type="character" w:styleId="ae">
    <w:name w:val="annotation reference"/>
    <w:qFormat/>
    <w:rPr>
      <w:w w:val="100"/>
      <w:position w:val="-1"/>
      <w:sz w:val="16"/>
      <w:szCs w:val="16"/>
      <w:effect w:val="none"/>
      <w:vertAlign w:val="baseline"/>
      <w:cs w:val="0"/>
      <w:em w:val="none"/>
    </w:rPr>
  </w:style>
  <w:style w:type="paragraph" w:styleId="af">
    <w:name w:val="annotation text"/>
    <w:basedOn w:val="a"/>
    <w:qFormat/>
    <w:pPr>
      <w:spacing w:line="240" w:lineRule="auto"/>
    </w:pPr>
    <w:rPr>
      <w:sz w:val="20"/>
      <w:szCs w:val="20"/>
    </w:rPr>
  </w:style>
  <w:style w:type="character" w:customStyle="1" w:styleId="af0">
    <w:name w:val="Текст примітки Знак"/>
    <w:rPr>
      <w:w w:val="100"/>
      <w:position w:val="-1"/>
      <w:sz w:val="20"/>
      <w:szCs w:val="20"/>
      <w:effect w:val="none"/>
      <w:vertAlign w:val="baseline"/>
      <w:cs w:val="0"/>
      <w:em w:val="none"/>
    </w:rPr>
  </w:style>
  <w:style w:type="paragraph" w:styleId="af1">
    <w:name w:val="annotation subject"/>
    <w:basedOn w:val="af"/>
    <w:next w:val="af"/>
    <w:qFormat/>
    <w:rPr>
      <w:b/>
      <w:bCs/>
    </w:rPr>
  </w:style>
  <w:style w:type="character" w:customStyle="1" w:styleId="af2">
    <w:name w:val="Тема примітки Знак"/>
    <w:rPr>
      <w:b/>
      <w:bCs/>
      <w:w w:val="100"/>
      <w:position w:val="-1"/>
      <w:sz w:val="20"/>
      <w:szCs w:val="20"/>
      <w:effect w:val="none"/>
      <w:vertAlign w:val="baseline"/>
      <w:cs w:val="0"/>
      <w:em w:val="none"/>
    </w:rPr>
  </w:style>
  <w:style w:type="character" w:customStyle="1" w:styleId="rvts9">
    <w:name w:val="rvts9"/>
    <w:basedOn w:val="a0"/>
    <w:rPr>
      <w:w w:val="100"/>
      <w:position w:val="-1"/>
      <w:effect w:val="none"/>
      <w:vertAlign w:val="baseline"/>
      <w:cs w:val="0"/>
      <w:em w:val="none"/>
    </w:rPr>
  </w:style>
  <w:style w:type="paragraph" w:styleId="af3">
    <w:name w:val="header"/>
    <w:basedOn w:val="a"/>
    <w:qFormat/>
    <w:pPr>
      <w:spacing w:after="0" w:line="240" w:lineRule="auto"/>
    </w:pPr>
  </w:style>
  <w:style w:type="character" w:customStyle="1" w:styleId="af4">
    <w:name w:val="Верхній колонтитул Знак"/>
    <w:basedOn w:val="a0"/>
    <w:rPr>
      <w:w w:val="100"/>
      <w:position w:val="-1"/>
      <w:effect w:val="none"/>
      <w:vertAlign w:val="baseline"/>
      <w:cs w:val="0"/>
      <w:em w:val="none"/>
    </w:rPr>
  </w:style>
  <w:style w:type="paragraph" w:styleId="af5">
    <w:name w:val="footer"/>
    <w:basedOn w:val="a"/>
    <w:qFormat/>
    <w:pPr>
      <w:spacing w:after="0" w:line="240" w:lineRule="auto"/>
    </w:pPr>
  </w:style>
  <w:style w:type="character" w:customStyle="1" w:styleId="af6">
    <w:name w:val="Нижній колонтитул Знак"/>
    <w:basedOn w:val="a0"/>
    <w:rPr>
      <w:w w:val="100"/>
      <w:position w:val="-1"/>
      <w:effect w:val="none"/>
      <w:vertAlign w:val="baseline"/>
      <w:cs w:val="0"/>
      <w:em w:val="none"/>
    </w:rPr>
  </w:style>
  <w:style w:type="character" w:styleId="af7">
    <w:name w:val="Hyperlink"/>
    <w:qFormat/>
    <w:rPr>
      <w:color w:val="467886"/>
      <w:w w:val="100"/>
      <w:position w:val="-1"/>
      <w:u w:val="single"/>
      <w:effect w:val="none"/>
      <w:vertAlign w:val="baseline"/>
      <w:cs w:val="0"/>
      <w:em w:val="none"/>
    </w:rPr>
  </w:style>
  <w:style w:type="character" w:styleId="af8">
    <w:name w:val="Unresolved Mention"/>
    <w:qFormat/>
    <w:rPr>
      <w:color w:val="605E5C"/>
      <w:w w:val="100"/>
      <w:position w:val="-1"/>
      <w:effect w:val="none"/>
      <w:shd w:val="clear" w:color="auto" w:fill="E1DFDD"/>
      <w:vertAlign w:val="baseline"/>
      <w:cs w:val="0"/>
      <w:em w:val="none"/>
    </w:rPr>
  </w:style>
  <w:style w:type="paragraph" w:styleId="af9">
    <w:name w:val="Revision"/>
    <w:hidden/>
    <w:uiPriority w:val="99"/>
    <w:semiHidden/>
    <w:rsid w:val="00F92693"/>
    <w:rPr>
      <w:kern w:val="2"/>
      <w:position w:val="-1"/>
      <w:sz w:val="24"/>
      <w:szCs w:val="24"/>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ntl.chinaport.gov.cn/aprwebserver/pages/apr/public/html/companyList.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dpss.gov.ua" TargetMode="External"/><Relationship Id="rId4" Type="http://schemas.openxmlformats.org/officeDocument/2006/relationships/settings" Target="settings.xml"/><Relationship Id="rId9" Type="http://schemas.openxmlformats.org/officeDocument/2006/relationships/hyperlink" Target="https://zakon.rada.gov.ua/laws/show/1177-2019-%D0%B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EfS3aipV53L4ILbgMmcI6BYdg==">CgMxLjAyDmgucDNkdXFwcmViMDBzOAByITFhc2hxLTdmZjBQOV9ONXM1SXJwTVdVb0VQNi11cGN2dg==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8163</Words>
  <Characters>4654</Characters>
  <Application>Microsoft Office Word</Application>
  <DocSecurity>0</DocSecurity>
  <Lines>38</Lines>
  <Paragraphs>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Yuliya Vasylyk</dc:creator>
  <cp:lastModifiedBy>Lyubov Melnyk</cp:lastModifiedBy>
  <cp:revision>4</cp:revision>
  <dcterms:created xsi:type="dcterms:W3CDTF">2026-04-09T07:02:00Z</dcterms:created>
  <dcterms:modified xsi:type="dcterms:W3CDTF">2026-04-09T08:45:00Z</dcterms:modified>
</cp:coreProperties>
</file>